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7DC5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突泉县草原生态奖惩</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实施</w:t>
      </w:r>
      <w:r>
        <w:rPr>
          <w:rFonts w:hint="eastAsia" w:ascii="方正小标宋简体" w:hAnsi="方正小标宋简体" w:eastAsia="方正小标宋简体" w:cs="方正小标宋简体"/>
          <w:b w:val="0"/>
          <w:bCs w:val="0"/>
          <w:sz w:val="44"/>
          <w:szCs w:val="44"/>
          <w:lang w:val="en-US" w:eastAsia="zh-CN"/>
        </w:rPr>
        <w:t>办法（征求意见稿）</w:t>
      </w:r>
    </w:p>
    <w:p w14:paraId="6425F3C1">
      <w:pPr>
        <w:pStyle w:val="2"/>
        <w:keepNext w:val="0"/>
        <w:keepLines w:val="0"/>
        <w:pageBreakBefore w:val="0"/>
        <w:widowControl w:val="0"/>
        <w:kinsoku/>
        <w:wordWrap/>
        <w:overflowPunct/>
        <w:topLinePunct w:val="0"/>
        <w:bidi w:val="0"/>
        <w:adjustRightInd/>
        <w:snapToGrid/>
        <w:spacing w:after="0"/>
        <w:ind w:left="0"/>
        <w:textAlignment w:val="auto"/>
        <w:rPr>
          <w:rFonts w:hint="eastAsia"/>
          <w:lang w:val="en-US" w:eastAsia="zh-CN"/>
        </w:rPr>
      </w:pPr>
    </w:p>
    <w:p w14:paraId="357FDB2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lang w:val="en-US" w:eastAsia="zh-CN"/>
        </w:rPr>
      </w:pPr>
      <w:r>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t>第一章  总  则</w:t>
      </w:r>
    </w:p>
    <w:p w14:paraId="7BDD80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 xml:space="preserve">第一条  </w:t>
      </w:r>
      <w:r>
        <w:rPr>
          <w:rFonts w:hint="eastAsia" w:ascii="仿宋_GB2312" w:hAnsi="仿宋_GB2312" w:eastAsia="仿宋_GB2312" w:cs="仿宋_GB2312"/>
          <w:spacing w:val="0"/>
          <w:sz w:val="32"/>
          <w:szCs w:val="32"/>
          <w:lang w:val="en-US" w:eastAsia="zh-CN"/>
        </w:rPr>
        <w:t>为切实</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加强草原资源保护，</w:t>
      </w:r>
      <w:r>
        <w:rPr>
          <w:rFonts w:hint="eastAsia" w:ascii="仿宋_GB2312" w:hAnsi="仿宋_GB2312" w:eastAsia="仿宋_GB2312" w:cs="仿宋_GB2312"/>
          <w:color w:val="000000" w:themeColor="text1"/>
          <w:spacing w:val="0"/>
          <w:sz w:val="32"/>
          <w:szCs w:val="32"/>
          <w14:textFill>
            <w14:solidFill>
              <w14:schemeClr w14:val="tx1"/>
            </w14:solidFill>
          </w14:textFill>
        </w:rPr>
        <w:t>提</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高农牧</w:t>
      </w:r>
      <w:bookmarkStart w:id="0" w:name="_GoBack"/>
      <w:bookmarkEnd w:id="0"/>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民</w:t>
      </w:r>
      <w:r>
        <w:rPr>
          <w:rFonts w:hint="eastAsia" w:ascii="仿宋_GB2312" w:hAnsi="仿宋_GB2312" w:eastAsia="仿宋_GB2312" w:cs="仿宋_GB2312"/>
          <w:color w:val="000000" w:themeColor="text1"/>
          <w:spacing w:val="0"/>
          <w:sz w:val="32"/>
          <w:szCs w:val="32"/>
          <w14:textFill>
            <w14:solidFill>
              <w14:schemeClr w14:val="tx1"/>
            </w14:solidFill>
          </w14:textFill>
        </w:rPr>
        <w:t>草原保护意识</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，根据《内蒙古自治区草畜平衡和禁牧休牧条例》和《兴安盟行政公署关于切实做好2024年解决草原过牧问题相关工作的通知》（兴署字〔2024〕97号）等有关法规和政策的规定，结合我县实际，制定本实施办法。</w:t>
      </w:r>
    </w:p>
    <w:p w14:paraId="4E5F20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 xml:space="preserve">第二条  </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本办法适用于突泉县行政区域内依法享受草原禁牧补奖的农牧民。</w:t>
      </w:r>
    </w:p>
    <w:p w14:paraId="75E187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 xml:space="preserve">第三条  </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实行草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原生态保护效果与补助奖励资金分配挂钩激励约束政策，对草原生态保护者、损害者严格实行奖惩制度。</w:t>
      </w:r>
    </w:p>
    <w:p w14:paraId="0526C7E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pPr>
    </w:p>
    <w:p w14:paraId="3B9D269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lang w:val="en-US" w:eastAsia="zh-CN"/>
        </w:rPr>
      </w:pPr>
      <w:r>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t>第二章  补奖机制管理</w:t>
      </w:r>
    </w:p>
    <w:p w14:paraId="474A81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 xml:space="preserve">第四条  </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pacing w:val="0"/>
          <w:sz w:val="32"/>
          <w:szCs w:val="32"/>
          <w14:textFill>
            <w14:solidFill>
              <w14:schemeClr w14:val="tx1"/>
            </w14:solidFill>
          </w14:textFill>
        </w:rPr>
        <w:t>林草局负责</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做好</w:t>
      </w:r>
      <w:r>
        <w:rPr>
          <w:rFonts w:hint="eastAsia" w:ascii="仿宋_GB2312" w:hAnsi="仿宋_GB2312" w:eastAsia="仿宋_GB2312" w:cs="仿宋_GB2312"/>
          <w:color w:val="000000" w:themeColor="text1"/>
          <w:spacing w:val="0"/>
          <w:sz w:val="32"/>
          <w:szCs w:val="32"/>
          <w14:textFill>
            <w14:solidFill>
              <w14:schemeClr w14:val="tx1"/>
            </w14:solidFill>
          </w14:textFill>
        </w:rPr>
        <w:t>草畜平衡和禁牧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休牧</w:t>
      </w:r>
      <w:r>
        <w:rPr>
          <w:rFonts w:hint="eastAsia" w:ascii="仿宋_GB2312" w:hAnsi="仿宋_GB2312" w:eastAsia="仿宋_GB2312" w:cs="仿宋_GB2312"/>
          <w:color w:val="000000" w:themeColor="text1"/>
          <w:spacing w:val="0"/>
          <w:sz w:val="32"/>
          <w:szCs w:val="32"/>
          <w14:textFill>
            <w14:solidFill>
              <w14:schemeClr w14:val="tx1"/>
            </w14:solidFill>
          </w14:textFill>
        </w:rPr>
        <w:t>监督管理</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县</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农科局负责</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建立资</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金发放台账，开展</w:t>
      </w:r>
      <w:r>
        <w:rPr>
          <w:rFonts w:hint="eastAsia" w:ascii="仿宋_GB2312" w:hAnsi="仿宋_GB2312" w:eastAsia="仿宋_GB2312" w:cs="仿宋_GB2312"/>
          <w:color w:val="000000" w:themeColor="text1"/>
          <w:spacing w:val="0"/>
          <w:sz w:val="32"/>
          <w:szCs w:val="32"/>
          <w14:textFill>
            <w14:solidFill>
              <w14:schemeClr w14:val="tx1"/>
            </w14:solidFill>
          </w14:textFill>
        </w:rPr>
        <w:t>政策宣传</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县</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财政局</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负责</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资金发放和绩效管理工作</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各乡镇</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具体负责辖区内</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草畜平衡和禁牧休牧</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工作</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p>
    <w:p w14:paraId="7537CA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 xml:space="preserve">第五条  </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享受草原禁牧补奖的农牧民。是保护草原的责任主体，应当依法保护和合理利用草原，遵守草畜平衡和禁牧休牧制度，履行草原保护义务。</w:t>
      </w:r>
    </w:p>
    <w:p w14:paraId="094D7F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spacing w:val="0"/>
          <w:lang w:val="en-US" w:eastAsia="zh-CN"/>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 xml:space="preserve">第六条  </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草原补奖奖惩机制纳入全县年度林草长制工作考核内容；对工作落实不到位的，将追究相关人员及单位责任。</w:t>
      </w:r>
    </w:p>
    <w:p w14:paraId="1399C23F">
      <w:pPr>
        <w:pStyle w:val="2"/>
        <w:keepNext w:val="0"/>
        <w:keepLines w:val="0"/>
        <w:pageBreakBefore w:val="0"/>
        <w:widowControl w:val="0"/>
        <w:kinsoku/>
        <w:wordWrap/>
        <w:overflowPunct/>
        <w:topLinePunct w:val="0"/>
        <w:bidi w:val="0"/>
        <w:adjustRightInd/>
        <w:snapToGrid/>
        <w:spacing w:after="0" w:line="600" w:lineRule="exact"/>
        <w:ind w:left="0"/>
        <w:jc w:val="center"/>
        <w:textAlignment w:val="auto"/>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pPr>
    </w:p>
    <w:p w14:paraId="7D82585B">
      <w:pPr>
        <w:pStyle w:val="2"/>
        <w:keepNext w:val="0"/>
        <w:keepLines w:val="0"/>
        <w:pageBreakBefore w:val="0"/>
        <w:widowControl w:val="0"/>
        <w:kinsoku/>
        <w:wordWrap/>
        <w:overflowPunct/>
        <w:topLinePunct w:val="0"/>
        <w:bidi w:val="0"/>
        <w:adjustRightInd/>
        <w:snapToGrid/>
        <w:spacing w:after="0" w:line="600" w:lineRule="exact"/>
        <w:ind w:left="0"/>
        <w:jc w:val="center"/>
        <w:textAlignment w:val="auto"/>
        <w:rPr>
          <w:rFonts w:hint="default"/>
          <w:lang w:val="en-US" w:eastAsia="zh-CN"/>
        </w:rPr>
      </w:pPr>
      <w:r>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t>第三章  区域划分</w:t>
      </w:r>
    </w:p>
    <w:p w14:paraId="2F582073">
      <w:pPr>
        <w:pStyle w:val="2"/>
        <w:keepNext w:val="0"/>
        <w:keepLines w:val="0"/>
        <w:pageBreakBefore w:val="0"/>
        <w:widowControl w:val="0"/>
        <w:kinsoku/>
        <w:wordWrap/>
        <w:overflowPunct/>
        <w:topLinePunct w:val="0"/>
        <w:bidi w:val="0"/>
        <w:adjustRightInd/>
        <w:snapToGrid/>
        <w:spacing w:after="0" w:line="600" w:lineRule="exact"/>
        <w:ind w:left="0" w:firstLine="643" w:firstLineChars="200"/>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第七条  全县</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第三轮</w:t>
      </w:r>
      <w:r>
        <w:rPr>
          <w:rFonts w:hint="eastAsia" w:ascii="仿宋_GB2312" w:hAnsi="仿宋_GB2312" w:eastAsia="仿宋_GB2312" w:cs="仿宋_GB2312"/>
          <w:color w:val="000000" w:themeColor="text1"/>
          <w:spacing w:val="0"/>
          <w:sz w:val="32"/>
          <w:szCs w:val="32"/>
          <w14:textFill>
            <w14:solidFill>
              <w14:schemeClr w14:val="tx1"/>
            </w14:solidFill>
          </w14:textFill>
        </w:rPr>
        <w:t>草原生态保护补助奖励</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政策任务为209.33万亩，</w:t>
      </w:r>
      <w:r>
        <w:rPr>
          <w:rFonts w:hint="eastAsia" w:ascii="仿宋_GB2312" w:hAnsi="仿宋_GB2312" w:eastAsia="仿宋_GB2312" w:cs="仿宋_GB2312"/>
          <w:color w:val="000000" w:themeColor="text1"/>
          <w:spacing w:val="0"/>
          <w:sz w:val="32"/>
          <w:szCs w:val="32"/>
          <w:highlight w:val="none"/>
          <w:shd w:val="clear" w:color="auto" w:fill="auto"/>
          <w:lang w:val="en-US" w:eastAsia="zh-CN"/>
          <w14:textFill>
            <w14:solidFill>
              <w14:schemeClr w14:val="tx1"/>
            </w14:solidFill>
          </w14:textFill>
        </w:rPr>
        <w:t>突泉县境内的草原已全部划定为禁牧区</w:t>
      </w:r>
      <w:r>
        <w:rPr>
          <w:rFonts w:hint="eastAsia" w:ascii="仿宋_GB2312" w:hAnsi="仿宋_GB2312" w:eastAsia="仿宋_GB2312" w:cs="仿宋_GB2312"/>
          <w:color w:val="44546A" w:themeColor="text2"/>
          <w:spacing w:val="0"/>
          <w:sz w:val="32"/>
          <w:szCs w:val="32"/>
          <w:lang w:val="en-US" w:eastAsia="zh-CN"/>
          <w14:textFill>
            <w14:solidFill>
              <w14:schemeClr w14:val="tx2"/>
            </w14:solidFill>
          </w14:textFill>
        </w:rPr>
        <w:t>。</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具体实施补奖</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包括突泉镇、六户镇、东杜尔基镇、宝石镇、水泉镇、永安镇、学田乡、太平乡、九龙乡等9个乡镇。</w:t>
      </w:r>
    </w:p>
    <w:p w14:paraId="3DAC2E22">
      <w:pPr>
        <w:pStyle w:val="5"/>
        <w:keepNext w:val="0"/>
        <w:keepLines w:val="0"/>
        <w:pageBreakBefore w:val="0"/>
        <w:widowControl w:val="0"/>
        <w:kinsoku/>
        <w:wordWrap/>
        <w:overflowPunct/>
        <w:topLinePunct w:val="0"/>
        <w:bidi w:val="0"/>
        <w:adjustRightInd/>
        <w:snapToGrid/>
        <w:spacing w:line="600" w:lineRule="exact"/>
        <w:ind w:left="0" w:leftChars="0" w:firstLine="0" w:firstLineChars="0"/>
        <w:jc w:val="center"/>
        <w:textAlignment w:val="auto"/>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pPr>
    </w:p>
    <w:p w14:paraId="3E91DA79">
      <w:pPr>
        <w:pStyle w:val="5"/>
        <w:keepNext w:val="0"/>
        <w:keepLines w:val="0"/>
        <w:pageBreakBefore w:val="0"/>
        <w:widowControl w:val="0"/>
        <w:kinsoku/>
        <w:wordWrap/>
        <w:overflowPunct/>
        <w:topLinePunct w:val="0"/>
        <w:bidi w:val="0"/>
        <w:adjustRightInd/>
        <w:snapToGrid/>
        <w:spacing w:line="600" w:lineRule="exact"/>
        <w:ind w:left="0" w:leftChars="0" w:firstLine="0" w:firstLineChars="0"/>
        <w:jc w:val="center"/>
        <w:textAlignment w:val="auto"/>
        <w:rPr>
          <w:rFonts w:hint="default"/>
          <w:lang w:val="en-US" w:eastAsia="zh-CN"/>
        </w:rPr>
      </w:pPr>
      <w:r>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t>第四章  补奖范围及奖罚规定</w:t>
      </w:r>
    </w:p>
    <w:p w14:paraId="2B0043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b w:val="0"/>
          <w:bC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 xml:space="preserve">第八条  </w:t>
      </w:r>
      <w:r>
        <w:rPr>
          <w:rFonts w:hint="eastAsia" w:ascii="仿宋_GB2312" w:hAnsi="仿宋_GB2312" w:eastAsia="仿宋_GB2312" w:cs="仿宋_GB2312"/>
          <w:b w:val="0"/>
          <w:bCs w:val="0"/>
          <w:color w:val="000000" w:themeColor="text1"/>
          <w:spacing w:val="0"/>
          <w:kern w:val="2"/>
          <w:sz w:val="32"/>
          <w:szCs w:val="32"/>
          <w:highlight w:val="none"/>
          <w:lang w:val="en-US" w:eastAsia="zh-CN" w:bidi="ar-SA"/>
          <w14:textFill>
            <w14:solidFill>
              <w14:schemeClr w14:val="tx1"/>
            </w14:solidFill>
          </w14:textFill>
        </w:rPr>
        <w:t>划定为禁牧区的草原，对履行禁牧义务的农牧民按照补奖标准及所在村草场面积给予禁牧补助。</w:t>
      </w:r>
    </w:p>
    <w:p w14:paraId="47418C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default" w:eastAsia="仿宋_GB2312"/>
          <w:spacing w:val="0"/>
          <w:lang w:val="en-US" w:eastAsia="zh-CN"/>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 xml:space="preserve">第九条 </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享受草原补奖的农牧民应遵守草畜平衡和禁牧休牧制度，</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履行草畜平衡和禁牧休牧责任</w:t>
      </w:r>
      <w:r>
        <w:rPr>
          <w:rFonts w:hint="eastAsia" w:ascii="仿宋_GB2312" w:hAnsi="仿宋_GB2312" w:eastAsia="仿宋_GB2312" w:cs="仿宋_GB2312"/>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达到</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草畜平衡和禁牧休牧</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要求的，</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全额发放补奖资金。</w:t>
      </w:r>
    </w:p>
    <w:p w14:paraId="6F1666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 xml:space="preserve">第十条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对未落实禁牧制度、在禁牧区违规放牧两次以上</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的，扣发当年草原禁牧补奖资金。</w:t>
      </w:r>
    </w:p>
    <w:p w14:paraId="6F3F48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 xml:space="preserve">第十一条 </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各乡镇及相关部门要</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鼓励农牧民通过种养结合、舍饲养殖、改良品种、优化畜群结构、延伸产业链等方式促进草原畜牧业高质量发展，减轻草原承载压力。引导农牧民将补奖资金用于草原保护建设上，切实发挥补奖资金在农牧生产增收上的作用。</w:t>
      </w:r>
    </w:p>
    <w:p w14:paraId="0089A2A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pPr>
    </w:p>
    <w:p w14:paraId="28B5D41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lang w:val="en-US" w:eastAsia="zh-CN"/>
        </w:rPr>
      </w:pPr>
      <w:r>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t>第五章  奖惩兑现程序</w:t>
      </w:r>
    </w:p>
    <w:p w14:paraId="6252EA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 xml:space="preserve">第十二条  </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对</w:t>
      </w:r>
      <w:r>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本村享受禁牧</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补奖</w:t>
      </w:r>
      <w:r>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农</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牧</w:t>
      </w:r>
      <w:r>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户由村委会</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进行初审</w:t>
      </w:r>
      <w:r>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登记</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后，在本村进行公示，公示以下主要内容：农牧户姓名，享受部补奖草原面积、禁牧面积、补奖金额。涉及有扣发农牧户的，还应公布扣发原因、扣发标准及扣发金额等。</w:t>
      </w:r>
      <w:r>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公示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七日</w:t>
      </w:r>
      <w:r>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后，上报所在乡镇人民政府</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w:t>
      </w:r>
    </w:p>
    <w:p w14:paraId="51F70D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 xml:space="preserve">第十三条  </w:t>
      </w:r>
      <w:r>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乡镇人民政府对各行政村上报的花名册进行</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审核</w:t>
      </w:r>
      <w:r>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公示</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，公示以下主要内容：农牧户姓名，享受部补奖草原面积、禁牧面积、补奖金额。涉及有扣发农牧户的，还应公布扣发原因、扣发标准及扣发金额等，公示七日</w:t>
      </w:r>
      <w:r>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后，上报县</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林草局。</w:t>
      </w:r>
    </w:p>
    <w:p w14:paraId="09F2E6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 xml:space="preserve">第十四条  </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县林草局收到各乡镇上报的花名册后，会同农牧局</w:t>
      </w:r>
      <w:r>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结合草畜平衡和禁牧休牧制度执行情况、草原生产力地面监测数据结果</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对所报农牧户是否存在违法违规以及违反本办法规定的行为、是否达到发放要求等进行复审。经复审达到发放要求的由县财政将补奖资金通过“一卡通”方式进行发放</w:t>
      </w:r>
      <w:r>
        <w:rPr>
          <w:rFonts w:hint="default"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经复审涉及扣发的，应书面告知理由。</w:t>
      </w:r>
    </w:p>
    <w:p w14:paraId="0551B9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 xml:space="preserve">第十五条  </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扣发的草原补奖资金</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全额缴入县财政，并严格执行收支两条线，</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由</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县</w:t>
      </w:r>
      <w:r>
        <w:rPr>
          <w:rFonts w:hint="eastAsia" w:ascii="仿宋_GB2312" w:hAnsi="仿宋_GB2312" w:eastAsia="仿宋_GB2312" w:cs="仿宋_GB2312"/>
          <w:color w:val="000000" w:themeColor="text1"/>
          <w:spacing w:val="0"/>
          <w:sz w:val="32"/>
          <w:szCs w:val="32"/>
          <w:highlight w:val="none"/>
          <w14:textFill>
            <w14:solidFill>
              <w14:schemeClr w14:val="tx1"/>
            </w14:solidFill>
          </w14:textFill>
        </w:rPr>
        <w:t>政府统筹安排，专项用于草原保护建设</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工作。</w:t>
      </w:r>
    </w:p>
    <w:p w14:paraId="6763C67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pPr>
    </w:p>
    <w:p w14:paraId="7D75E22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t>第六章  附则</w:t>
      </w:r>
    </w:p>
    <w:p w14:paraId="7434E2E6">
      <w:pPr>
        <w:pStyle w:val="2"/>
        <w:rPr>
          <w:rFonts w:hint="eastAsia"/>
          <w:lang w:val="en-US" w:eastAsia="zh-CN"/>
        </w:rPr>
      </w:pPr>
    </w:p>
    <w:p w14:paraId="56CAC4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 xml:space="preserve">第十六条  </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本办法由突泉县林业和草原局负责解释。</w:t>
      </w:r>
    </w:p>
    <w:p w14:paraId="75F4E5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0"/>
        <w:jc w:val="both"/>
        <w:textAlignment w:val="auto"/>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 xml:space="preserve">第十七条  </w:t>
      </w: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本办法自发布之日起执行。</w:t>
      </w:r>
    </w:p>
    <w:p w14:paraId="4EEEEAC8">
      <w:pPr>
        <w:tabs>
          <w:tab w:val="left" w:pos="1219"/>
        </w:tabs>
        <w:bidi w:val="0"/>
        <w:jc w:val="left"/>
        <w:rPr>
          <w:rFonts w:hint="default"/>
          <w:lang w:val="en-US" w:eastAsia="zh-CN"/>
        </w:rPr>
      </w:pPr>
    </w:p>
    <w:sectPr>
      <w:pgSz w:w="11906" w:h="16838"/>
      <w:pgMar w:top="2098" w:right="1474" w:bottom="1984" w:left="1587"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84B604-A8DD-4125-B014-BA6800A4BA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2A59D06-F477-49AC-A60D-4B741CE9DF1F}"/>
  </w:font>
  <w:font w:name="Calibri Light">
    <w:panose1 w:val="020F0302020204030204"/>
    <w:charset w:val="00"/>
    <w:family w:val="swiss"/>
    <w:pitch w:val="default"/>
    <w:sig w:usb0="E4002EFF" w:usb1="C2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embedRegular r:id="rId3" w:fontKey="{5FC01744-30CE-4EBD-BDB1-A373B51FE71A}"/>
  </w:font>
  <w:font w:name="仿宋_GB2312">
    <w:panose1 w:val="02010609030101010101"/>
    <w:charset w:val="86"/>
    <w:family w:val="modern"/>
    <w:pitch w:val="default"/>
    <w:sig w:usb0="00000001" w:usb1="080E0000" w:usb2="00000000" w:usb3="00000000" w:csb0="00040000" w:csb1="00000000"/>
    <w:embedRegular r:id="rId4" w:fontKey="{387C1F1C-0E7F-4BC5-9822-D30ED37756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jVlZDY5MWUxMmQ5ZTJmNTRkZGViYTJmM2M2ZGEifQ=="/>
  </w:docVars>
  <w:rsids>
    <w:rsidRoot w:val="651F5441"/>
    <w:rsid w:val="00091D86"/>
    <w:rsid w:val="03E97C9C"/>
    <w:rsid w:val="05A24347"/>
    <w:rsid w:val="05F4771F"/>
    <w:rsid w:val="064D773F"/>
    <w:rsid w:val="06DC78CB"/>
    <w:rsid w:val="08536A17"/>
    <w:rsid w:val="08830B4D"/>
    <w:rsid w:val="091F19C7"/>
    <w:rsid w:val="096814AD"/>
    <w:rsid w:val="09825F67"/>
    <w:rsid w:val="0ABC2439"/>
    <w:rsid w:val="0B8827A8"/>
    <w:rsid w:val="0BD51E39"/>
    <w:rsid w:val="0CC225E4"/>
    <w:rsid w:val="0D397896"/>
    <w:rsid w:val="0DFF1C85"/>
    <w:rsid w:val="132C136A"/>
    <w:rsid w:val="1525798D"/>
    <w:rsid w:val="15F747E3"/>
    <w:rsid w:val="16B1159B"/>
    <w:rsid w:val="180A05D6"/>
    <w:rsid w:val="18166562"/>
    <w:rsid w:val="19283E1B"/>
    <w:rsid w:val="19D9434D"/>
    <w:rsid w:val="1F96680D"/>
    <w:rsid w:val="206F2422"/>
    <w:rsid w:val="207451CF"/>
    <w:rsid w:val="20E37A02"/>
    <w:rsid w:val="213A2C82"/>
    <w:rsid w:val="229B74E0"/>
    <w:rsid w:val="23AC5C96"/>
    <w:rsid w:val="24014EDA"/>
    <w:rsid w:val="257A7220"/>
    <w:rsid w:val="2D87143F"/>
    <w:rsid w:val="2DF9564E"/>
    <w:rsid w:val="2EA478F6"/>
    <w:rsid w:val="2F63468C"/>
    <w:rsid w:val="2FE47187"/>
    <w:rsid w:val="306047B6"/>
    <w:rsid w:val="30D46B0E"/>
    <w:rsid w:val="310A50FC"/>
    <w:rsid w:val="32173506"/>
    <w:rsid w:val="32D71993"/>
    <w:rsid w:val="333A2C6D"/>
    <w:rsid w:val="347636FF"/>
    <w:rsid w:val="34D969D0"/>
    <w:rsid w:val="36D23D0F"/>
    <w:rsid w:val="37E47F99"/>
    <w:rsid w:val="37F13DAB"/>
    <w:rsid w:val="38933AF5"/>
    <w:rsid w:val="39EB70FF"/>
    <w:rsid w:val="3A9257E4"/>
    <w:rsid w:val="3A987C2E"/>
    <w:rsid w:val="3BC82016"/>
    <w:rsid w:val="3CA628B2"/>
    <w:rsid w:val="3D0B02B5"/>
    <w:rsid w:val="3D5A0CBC"/>
    <w:rsid w:val="3D5A3E2D"/>
    <w:rsid w:val="3D9010EB"/>
    <w:rsid w:val="41AC774B"/>
    <w:rsid w:val="426F6FD0"/>
    <w:rsid w:val="42DC48CD"/>
    <w:rsid w:val="43F25101"/>
    <w:rsid w:val="45183286"/>
    <w:rsid w:val="45643D87"/>
    <w:rsid w:val="457A0C68"/>
    <w:rsid w:val="45E30135"/>
    <w:rsid w:val="47527412"/>
    <w:rsid w:val="47DA656D"/>
    <w:rsid w:val="480720FF"/>
    <w:rsid w:val="48405D3F"/>
    <w:rsid w:val="48B47C3F"/>
    <w:rsid w:val="4966574E"/>
    <w:rsid w:val="49FD5D7F"/>
    <w:rsid w:val="4A267191"/>
    <w:rsid w:val="4AAE76DD"/>
    <w:rsid w:val="4AC2325F"/>
    <w:rsid w:val="4C7D2DA1"/>
    <w:rsid w:val="4E400C2D"/>
    <w:rsid w:val="4FCC4A71"/>
    <w:rsid w:val="502B5BA3"/>
    <w:rsid w:val="52AD7E1A"/>
    <w:rsid w:val="52F07090"/>
    <w:rsid w:val="53967447"/>
    <w:rsid w:val="540821D2"/>
    <w:rsid w:val="553F42EB"/>
    <w:rsid w:val="55DA3B9D"/>
    <w:rsid w:val="565804F2"/>
    <w:rsid w:val="56DE007F"/>
    <w:rsid w:val="59ED7E16"/>
    <w:rsid w:val="59F97DB8"/>
    <w:rsid w:val="5A5534F6"/>
    <w:rsid w:val="5C1D55FB"/>
    <w:rsid w:val="5C1F3637"/>
    <w:rsid w:val="5CD33256"/>
    <w:rsid w:val="5F0F04A9"/>
    <w:rsid w:val="5F2C52ED"/>
    <w:rsid w:val="5F604A73"/>
    <w:rsid w:val="5FCF3D4A"/>
    <w:rsid w:val="627F0ACD"/>
    <w:rsid w:val="64B60FC6"/>
    <w:rsid w:val="64C42016"/>
    <w:rsid w:val="651F5441"/>
    <w:rsid w:val="658C3FAC"/>
    <w:rsid w:val="65925516"/>
    <w:rsid w:val="6703252B"/>
    <w:rsid w:val="67FD48FF"/>
    <w:rsid w:val="68996A21"/>
    <w:rsid w:val="693D508B"/>
    <w:rsid w:val="6A0C51AE"/>
    <w:rsid w:val="6B194657"/>
    <w:rsid w:val="6B6F48A9"/>
    <w:rsid w:val="6B8630C9"/>
    <w:rsid w:val="6C1B20C5"/>
    <w:rsid w:val="6C330DD5"/>
    <w:rsid w:val="6DA80A32"/>
    <w:rsid w:val="6E0A7EB3"/>
    <w:rsid w:val="6EAE7733"/>
    <w:rsid w:val="6F006DBA"/>
    <w:rsid w:val="701708CB"/>
    <w:rsid w:val="70776A79"/>
    <w:rsid w:val="713C156C"/>
    <w:rsid w:val="73FB661D"/>
    <w:rsid w:val="759236A6"/>
    <w:rsid w:val="767C4A23"/>
    <w:rsid w:val="768B7C97"/>
    <w:rsid w:val="77977030"/>
    <w:rsid w:val="786C20ED"/>
    <w:rsid w:val="78995294"/>
    <w:rsid w:val="78D90D38"/>
    <w:rsid w:val="78EB07B4"/>
    <w:rsid w:val="78F07062"/>
    <w:rsid w:val="79A22FCC"/>
    <w:rsid w:val="7A017E3C"/>
    <w:rsid w:val="7A6E4A1C"/>
    <w:rsid w:val="7A893B3A"/>
    <w:rsid w:val="7AB85E40"/>
    <w:rsid w:val="7B0F3A72"/>
    <w:rsid w:val="7C044D26"/>
    <w:rsid w:val="7C097CD9"/>
    <w:rsid w:val="7C7114F5"/>
    <w:rsid w:val="7D084B55"/>
    <w:rsid w:val="7DBA4CD5"/>
    <w:rsid w:val="7DCF5B74"/>
    <w:rsid w:val="7E7A1B0E"/>
    <w:rsid w:val="7E7E4AF6"/>
    <w:rsid w:val="7EAE0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customStyle="1" w:styleId="3">
    <w:name w:val="一级条标题"/>
    <w:basedOn w:val="4"/>
    <w:next w:val="5"/>
    <w:qFormat/>
    <w:uiPriority w:val="99"/>
    <w:pPr>
      <w:spacing w:line="240" w:lineRule="auto"/>
      <w:ind w:left="420"/>
      <w:outlineLvl w:val="2"/>
    </w:pPr>
  </w:style>
  <w:style w:type="paragraph" w:customStyle="1" w:styleId="4">
    <w:name w:val="章标题"/>
    <w:next w:val="1"/>
    <w:qFormat/>
    <w:uiPriority w:val="99"/>
    <w:pPr>
      <w:spacing w:line="360" w:lineRule="auto"/>
      <w:jc w:val="both"/>
      <w:outlineLvl w:val="1"/>
    </w:pPr>
    <w:rPr>
      <w:rFonts w:ascii="黑体" w:hAnsi="Times New Roman" w:eastAsia="黑体" w:cs="Times New Roman"/>
      <w:kern w:val="0"/>
      <w:sz w:val="21"/>
      <w:szCs w:val="22"/>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styleId="7">
    <w:name w:val="Title"/>
    <w:basedOn w:val="1"/>
    <w:next w:val="1"/>
    <w:autoRedefine/>
    <w:qFormat/>
    <w:uiPriority w:val="10"/>
    <w:pPr>
      <w:spacing w:before="240" w:after="60"/>
      <w:jc w:val="center"/>
      <w:outlineLvl w:val="0"/>
    </w:pPr>
    <w:rPr>
      <w:rFonts w:ascii="Calibri Light" w:hAnsi="Calibri Light" w:cs="宋体"/>
      <w:b/>
      <w:bCs/>
      <w:sz w:val="32"/>
      <w:szCs w:val="3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autoRedefine/>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2">
    <w:name w:val="样式"/>
    <w:autoRedefine/>
    <w:qFormat/>
    <w:uiPriority w:val="0"/>
    <w:pPr>
      <w:widowControl w:val="0"/>
      <w:autoSpaceDE w:val="0"/>
      <w:autoSpaceDN w:val="0"/>
      <w:adjustRightInd w:val="0"/>
    </w:pPr>
    <w:rPr>
      <w:rFonts w:ascii="Times New Roman" w:hAnsi="Times New Roman" w:cs="Times New Roman" w:eastAsiaTheme="minorEastAsia"/>
      <w:sz w:val="24"/>
      <w:szCs w:val="24"/>
      <w:lang w:val="en-US" w:eastAsia="zh-CN" w:bidi="mn-Mong-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1292</Words>
  <Characters>1304</Characters>
  <Lines>0</Lines>
  <Paragraphs>0</Paragraphs>
  <TotalTime>31</TotalTime>
  <ScaleCrop>false</ScaleCrop>
  <LinksUpToDate>false</LinksUpToDate>
  <CharactersWithSpaces>1350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2019-04-04T07:55:00Z</dcterms:created>
  <dc:creator>NTKO</dc:creator>
  <cp:lastModifiedBy>Lenovo</cp:lastModifiedBy>
  <cp:lastPrinted>2024-07-03T08:15:00Z</cp:lastPrinted>
  <dcterms:modified xsi:type="dcterms:W3CDTF">2024-08-01T00:59:19Z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9F79780E43D2488A81F4CADEF3C7C704_13</vt:lpwstr>
  </property>
</Properties>
</file>