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534B68">
      <w:pPr>
        <w:pStyle w:val="14"/>
        <w:jc w:val="center"/>
        <w:rPr>
          <w:rFonts w:ascii="黑体" w:hAnsi="黑体" w:eastAsia="黑体"/>
          <w:kern w:val="2"/>
          <w:sz w:val="52"/>
          <w:szCs w:val="52"/>
        </w:rPr>
      </w:pPr>
      <w:r>
        <w:rPr>
          <w:rFonts w:hint="eastAsia" w:ascii="黑体" w:hAnsi="黑体" w:eastAsia="黑体"/>
          <w:sz w:val="52"/>
          <w:szCs w:val="52"/>
        </w:rPr>
        <w:t>突泉综合交通运输发展规划（202</w:t>
      </w:r>
      <w:r>
        <w:rPr>
          <w:rFonts w:hint="eastAsia" w:ascii="黑体" w:hAnsi="黑体" w:eastAsia="黑体"/>
          <w:sz w:val="52"/>
          <w:szCs w:val="52"/>
          <w:lang w:val="en-US" w:eastAsia="zh-CN"/>
        </w:rPr>
        <w:t>1</w:t>
      </w:r>
      <w:r>
        <w:rPr>
          <w:rFonts w:hint="eastAsia" w:ascii="黑体" w:hAnsi="黑体" w:eastAsia="黑体"/>
          <w:sz w:val="52"/>
          <w:szCs w:val="52"/>
        </w:rPr>
        <w:t>-2025年）</w:t>
      </w:r>
    </w:p>
    <w:p w14:paraId="7E934246">
      <w:pPr>
        <w:ind w:firstLine="560"/>
      </w:pPr>
    </w:p>
    <w:p w14:paraId="7C1F29CC">
      <w:pPr>
        <w:jc w:val="center"/>
      </w:pPr>
    </w:p>
    <w:p w14:paraId="740CA778">
      <w:pPr>
        <w:jc w:val="center"/>
        <w:rPr>
          <w:rStyle w:val="13"/>
        </w:rPr>
      </w:pPr>
    </w:p>
    <w:p w14:paraId="194089E2">
      <w:pPr>
        <w:jc w:val="center"/>
      </w:pPr>
    </w:p>
    <w:p w14:paraId="17442EF4">
      <w:pPr>
        <w:jc w:val="center"/>
      </w:pPr>
    </w:p>
    <w:p w14:paraId="0FC8B33F">
      <w:pPr>
        <w:jc w:val="center"/>
      </w:pPr>
    </w:p>
    <w:p w14:paraId="24AB0B6D">
      <w:pPr>
        <w:jc w:val="center"/>
      </w:pPr>
    </w:p>
    <w:p w14:paraId="5DFCC507">
      <w:pPr>
        <w:jc w:val="center"/>
      </w:pPr>
    </w:p>
    <w:p w14:paraId="76452DD8">
      <w:pPr>
        <w:jc w:val="center"/>
      </w:pPr>
    </w:p>
    <w:p w14:paraId="54388163">
      <w:pPr>
        <w:jc w:val="center"/>
      </w:pPr>
    </w:p>
    <w:p w14:paraId="28AB56F4">
      <w:pPr>
        <w:jc w:val="center"/>
      </w:pPr>
    </w:p>
    <w:p w14:paraId="5D72A778">
      <w:pPr>
        <w:jc w:val="center"/>
      </w:pPr>
    </w:p>
    <w:p w14:paraId="213A4A29">
      <w:pPr>
        <w:jc w:val="center"/>
      </w:pPr>
    </w:p>
    <w:p w14:paraId="4D31ACC5">
      <w:pPr>
        <w:jc w:val="center"/>
      </w:pPr>
    </w:p>
    <w:p w14:paraId="1A0127EF">
      <w:pPr>
        <w:jc w:val="center"/>
        <w:rPr>
          <w:sz w:val="32"/>
          <w:szCs w:val="32"/>
        </w:rPr>
      </w:pPr>
    </w:p>
    <w:p w14:paraId="4B332DB6">
      <w:pPr>
        <w:jc w:val="center"/>
        <w:rPr>
          <w:sz w:val="32"/>
          <w:szCs w:val="32"/>
        </w:rPr>
      </w:pPr>
    </w:p>
    <w:p w14:paraId="200B673A"/>
    <w:p w14:paraId="118BF0F6"/>
    <w:p w14:paraId="361F3A14"/>
    <w:p w14:paraId="163B03B0"/>
    <w:p w14:paraId="43ACC6CF"/>
    <w:p w14:paraId="3654F0D2"/>
    <w:p w14:paraId="65667F02"/>
    <w:p w14:paraId="24B40F09"/>
    <w:p w14:paraId="4A060A15"/>
    <w:p w14:paraId="419328A2"/>
    <w:p w14:paraId="5DFB29C6"/>
    <w:p w14:paraId="47272153"/>
    <w:p w14:paraId="10E243A1">
      <w:pPr>
        <w:jc w:val="center"/>
      </w:pPr>
    </w:p>
    <w:p w14:paraId="00E26531"/>
    <w:p w14:paraId="3566350F">
      <w:pPr>
        <w:jc w:val="center"/>
      </w:pPr>
    </w:p>
    <w:p w14:paraId="52AE0E1E">
      <w:pPr>
        <w:jc w:val="center"/>
        <w:rPr>
          <w:rFonts w:ascii="黑体" w:hAnsi="黑体" w:eastAsia="黑体"/>
          <w:sz w:val="48"/>
          <w:szCs w:val="48"/>
        </w:rPr>
      </w:pPr>
    </w:p>
    <w:p w14:paraId="6A7F3D27">
      <w:pPr>
        <w:jc w:val="center"/>
        <w:rPr>
          <w:rFonts w:ascii="黑体" w:hAnsi="黑体" w:eastAsia="黑体"/>
          <w:sz w:val="48"/>
          <w:szCs w:val="48"/>
        </w:rPr>
      </w:pPr>
    </w:p>
    <w:p w14:paraId="2FAFB3E1">
      <w:pPr>
        <w:jc w:val="center"/>
        <w:rPr>
          <w:rFonts w:ascii="黑体" w:hAnsi="黑体" w:eastAsia="黑体"/>
          <w:sz w:val="48"/>
          <w:szCs w:val="48"/>
        </w:rPr>
      </w:pPr>
    </w:p>
    <w:p w14:paraId="667A6462">
      <w:pPr>
        <w:jc w:val="center"/>
        <w:rPr>
          <w:rFonts w:ascii="黑体" w:hAnsi="黑体" w:eastAsia="黑体"/>
          <w:sz w:val="48"/>
          <w:szCs w:val="48"/>
        </w:rPr>
      </w:pPr>
    </w:p>
    <w:p w14:paraId="1B5A4441">
      <w:pPr>
        <w:jc w:val="left"/>
        <w:rPr>
          <w:rFonts w:asciiTheme="minorEastAsia" w:hAnsiTheme="minorEastAsia" w:eastAsiaTheme="minorEastAsia" w:cstheme="minorEastAsia"/>
          <w:sz w:val="28"/>
          <w:szCs w:val="28"/>
        </w:rPr>
      </w:pPr>
    </w:p>
    <w:p w14:paraId="59D22287">
      <w:pPr>
        <w:pStyle w:val="3"/>
        <w:numPr>
          <w:ilvl w:val="0"/>
          <w:numId w:val="1"/>
        </w:numPr>
      </w:pPr>
      <w:r>
        <w:rPr>
          <w:rFonts w:hint="eastAsia"/>
        </w:rPr>
        <w:t>“十三五”综合交通运输发展评价</w:t>
      </w:r>
    </w:p>
    <w:p w14:paraId="5BD19E51">
      <w:pPr>
        <w:pStyle w:val="4"/>
        <w:ind w:firstLine="472" w:firstLineChars="147"/>
        <w:rPr>
          <w:rFonts w:ascii="黑体" w:hAnsi="黑体" w:eastAsia="黑体"/>
          <w:color w:val="000000"/>
        </w:rPr>
      </w:pPr>
      <w:bookmarkStart w:id="0" w:name="_Toc37147833"/>
      <w:r>
        <w:rPr>
          <w:rFonts w:ascii="黑体" w:hAnsi="黑体" w:eastAsia="黑体"/>
          <w:color w:val="000000"/>
        </w:rPr>
        <w:t>（一）</w:t>
      </w:r>
      <w:r>
        <w:rPr>
          <w:rFonts w:hint="eastAsia" w:ascii="黑体" w:hAnsi="黑体" w:eastAsia="黑体"/>
          <w:color w:val="000000"/>
        </w:rPr>
        <w:t>发展</w:t>
      </w:r>
      <w:r>
        <w:rPr>
          <w:rFonts w:ascii="黑体" w:hAnsi="黑体" w:eastAsia="黑体"/>
          <w:color w:val="000000"/>
        </w:rPr>
        <w:t>现状</w:t>
      </w:r>
      <w:bookmarkEnd w:id="0"/>
    </w:p>
    <w:p w14:paraId="6808F6CC">
      <w:pPr>
        <w:widowControl/>
        <w:spacing w:line="360" w:lineRule="auto"/>
        <w:ind w:firstLine="480"/>
        <w:jc w:val="left"/>
        <w:rPr>
          <w:rFonts w:ascii="仿宋" w:hAnsi="仿宋" w:eastAsia="仿宋" w:cs="仿宋"/>
          <w:sz w:val="28"/>
          <w:szCs w:val="28"/>
        </w:rPr>
      </w:pPr>
      <w:r>
        <w:rPr>
          <w:rFonts w:hint="eastAsia" w:ascii="仿宋" w:hAnsi="仿宋" w:eastAsia="仿宋" w:cs="仿宋"/>
          <w:sz w:val="28"/>
          <w:szCs w:val="28"/>
        </w:rPr>
        <w:t>“十三五”期间，</w:t>
      </w:r>
      <w:r>
        <w:rPr>
          <w:rFonts w:hint="eastAsia" w:ascii="仿宋" w:hAnsi="仿宋" w:eastAsia="仿宋" w:cs="仿宋"/>
          <w:kern w:val="0"/>
          <w:sz w:val="28"/>
          <w:szCs w:val="28"/>
        </w:rPr>
        <w:t>突泉县以习近平新时代中国特色社会主义思想为指导，全面贯彻落实党的十九大精神，在盟委行署和县委坚强领导下，在县人大、县政协监督支持下，</w:t>
      </w:r>
      <w:r>
        <w:rPr>
          <w:rFonts w:hint="eastAsia" w:ascii="仿宋" w:hAnsi="仿宋" w:eastAsia="仿宋" w:cs="仿宋"/>
          <w:sz w:val="28"/>
          <w:szCs w:val="28"/>
        </w:rPr>
        <w:t>抢抓国家加大基础设施补短板力度的“窗口期”机遇，着力加大交通基础设施建设投资力度，不断优化运输结构，努力提升服务质量，全县交通运输体系建设初见成效。2020年3月4日，经自治区人民政府研究，同意突泉退出贫困旗县序列，这与突泉县综合交通运输发展的显著成效密不可分。</w:t>
      </w:r>
    </w:p>
    <w:p w14:paraId="79F01592">
      <w:pPr>
        <w:tabs>
          <w:tab w:val="left" w:pos="2835"/>
        </w:tabs>
        <w:rPr>
          <w:rFonts w:ascii="仿宋" w:hAnsi="仿宋" w:eastAsia="仿宋"/>
          <w:color w:val="000000"/>
          <w:sz w:val="30"/>
          <w:szCs w:val="30"/>
        </w:rPr>
      </w:pPr>
      <w:bookmarkStart w:id="1" w:name="_Toc37147835"/>
      <w:r>
        <w:rPr>
          <w:rFonts w:hint="eastAsia" w:ascii="仿宋" w:hAnsi="仿宋" w:eastAsia="仿宋"/>
          <w:color w:val="000000"/>
          <w:sz w:val="30"/>
          <w:szCs w:val="30"/>
        </w:rPr>
        <w:t>（1）公路</w:t>
      </w:r>
      <w:bookmarkEnd w:id="1"/>
    </w:p>
    <w:p w14:paraId="6291839A">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突泉县以北京-呼伦贝尔加格达奇111国道、广西北海-呼伦贝尔阿荣旗省际大通道、突泉-洮南省际二级通道为主的公路交通直接连入呼海、京齐、佳沈、长白、通霍公路网。公路交通是突泉县的唯一运输方式，“十三五”期间，突泉县在公路建设，公路管理，公路养护上都取得了显著的成果。</w:t>
      </w:r>
    </w:p>
    <w:p w14:paraId="1FA2FE4C">
      <w:pPr>
        <w:spacing w:line="360" w:lineRule="auto"/>
        <w:ind w:firstLine="562" w:firstLineChars="200"/>
        <w:rPr>
          <w:rFonts w:ascii="仿宋" w:hAnsi="仿宋" w:eastAsia="仿宋" w:cs="仿宋"/>
          <w:sz w:val="28"/>
          <w:szCs w:val="28"/>
        </w:rPr>
      </w:pPr>
      <w:bookmarkStart w:id="2" w:name="_Toc37147836"/>
      <w:r>
        <w:rPr>
          <w:rFonts w:hint="eastAsia" w:ascii="仿宋" w:hAnsi="仿宋" w:eastAsia="仿宋" w:cs="仿宋"/>
          <w:b/>
          <w:bCs/>
          <w:sz w:val="28"/>
          <w:szCs w:val="28"/>
        </w:rPr>
        <w:t>公路里程逐年递增，公路路网建设不断完善。</w:t>
      </w:r>
      <w:r>
        <w:rPr>
          <w:rFonts w:hint="eastAsia" w:ascii="仿宋" w:hAnsi="仿宋" w:eastAsia="仿宋" w:cs="仿宋"/>
          <w:sz w:val="28"/>
          <w:szCs w:val="28"/>
        </w:rPr>
        <w:t>2016年，突泉县加快推进25个通村公路项目建设，全力做好省道309线阿力得尔至突泉段公路改建工程，积极争取突洮公路、永巴公路升级改造项目，改善县域交通环境。2018年硬化村屯街巷982公里，建设农村公路935公里，行政村公路硬化率、通畅率达100%。截止2018年底，全县境内公路总里程2346.732公里，已硬化1682.947公里。全县188个行政村通畅率100%。2019年道路建设，城区9路13街全长60公里，硬化面积158万平方米，人均硬化面积20.8平方米。2019年实施道路生命防护工程9.6公里，永巴公路完成升级改造，S309县城至太和段建成通车。管理体系日趋精细。2020年1月，连向周边旗市的S309线阿力得尔至突泉段公路，较好地改善了突泉县的路网功能，对突泉县农畜产品的输出、生产资料的输入、以及日常用品的运输降低了成本，使沿线的群众增加了收入，成为突泉县一条重要的旅游路、便民路、富民路。</w:t>
      </w:r>
    </w:p>
    <w:p w14:paraId="31715384">
      <w:pPr>
        <w:spacing w:line="360" w:lineRule="auto"/>
        <w:ind w:firstLine="562" w:firstLineChars="200"/>
        <w:rPr>
          <w:rFonts w:ascii="仿宋" w:hAnsi="仿宋" w:eastAsia="仿宋" w:cs="仿宋"/>
          <w:sz w:val="28"/>
          <w:szCs w:val="28"/>
        </w:rPr>
      </w:pPr>
      <w:r>
        <w:rPr>
          <w:rFonts w:hint="eastAsia" w:ascii="仿宋" w:hAnsi="仿宋" w:eastAsia="仿宋" w:cs="仿宋"/>
          <w:b/>
          <w:bCs/>
          <w:sz w:val="28"/>
          <w:szCs w:val="28"/>
        </w:rPr>
        <w:t>公路建设项目妥善实施，公路等级水平大幅提升。</w:t>
      </w:r>
      <w:r>
        <w:rPr>
          <w:rFonts w:hint="eastAsia" w:ascii="仿宋" w:hAnsi="仿宋" w:eastAsia="仿宋" w:cs="仿宋"/>
          <w:sz w:val="28"/>
          <w:szCs w:val="28"/>
        </w:rPr>
        <w:t>突泉县进行多条重点道路升级改造，省道502线突泉至洮南公路，是内蒙古主干道连接吉林省的重要路段，也是兴安盟公路网规划的重要出口路之一，路线全长约56公里，现状为二级公路，升级为一级公路。省道210线突泉至地宫化段公路，起点位于突泉县突泉镇利民街，与拟扩建省道502线平交，终点位于地宫化（兴安盟与通辽市分界处），顺接省道210线乌兰哈达至格日朝鲁段公路（通辽市扎鲁特旗境内段），路线全长约121公里，现状为四级公路，升级为二级公路。重点公路建设具体情况如表1所示。</w:t>
      </w:r>
    </w:p>
    <w:p w14:paraId="1BBBF7AD">
      <w:pPr>
        <w:spacing w:line="360" w:lineRule="auto"/>
        <w:ind w:firstLine="480" w:firstLineChars="200"/>
        <w:jc w:val="center"/>
        <w:rPr>
          <w:rFonts w:ascii="仿宋" w:hAnsi="仿宋" w:eastAsia="仿宋" w:cs="仿宋"/>
          <w:sz w:val="24"/>
        </w:rPr>
      </w:pPr>
      <w:r>
        <w:rPr>
          <w:rFonts w:hint="eastAsia" w:ascii="仿宋" w:hAnsi="仿宋" w:eastAsia="仿宋" w:cs="仿宋"/>
          <w:sz w:val="24"/>
        </w:rPr>
        <w:t>表1 “十三五”突泉重点公路建设项目表</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1"/>
        <w:gridCol w:w="1840"/>
        <w:gridCol w:w="1425"/>
      </w:tblGrid>
      <w:tr w14:paraId="140EE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3331" w:type="pct"/>
          </w:tcPr>
          <w:p w14:paraId="37D75F82">
            <w:pPr>
              <w:widowControl/>
              <w:shd w:val="clear" w:color="auto" w:fill="FFFFFF"/>
              <w:spacing w:before="225" w:after="225" w:line="360" w:lineRule="auto"/>
              <w:jc w:val="left"/>
              <w:rPr>
                <w:rFonts w:ascii="仿宋" w:hAnsi="仿宋" w:eastAsia="仿宋" w:cs="仿宋"/>
                <w:b/>
                <w:bCs/>
                <w:color w:val="333333"/>
                <w:kern w:val="0"/>
                <w:sz w:val="24"/>
              </w:rPr>
            </w:pPr>
            <w:r>
              <w:rPr>
                <w:rFonts w:hint="eastAsia" w:ascii="仿宋" w:hAnsi="仿宋" w:eastAsia="仿宋" w:cs="仿宋"/>
                <w:b/>
                <w:bCs/>
                <w:color w:val="333333"/>
                <w:kern w:val="0"/>
                <w:sz w:val="24"/>
              </w:rPr>
              <w:t>重点公路建设项目名称</w:t>
            </w:r>
          </w:p>
        </w:tc>
        <w:tc>
          <w:tcPr>
            <w:tcW w:w="940" w:type="pct"/>
          </w:tcPr>
          <w:p w14:paraId="0B18472E">
            <w:pPr>
              <w:widowControl/>
              <w:shd w:val="clear" w:color="auto" w:fill="FFFFFF"/>
              <w:spacing w:before="225" w:after="225" w:line="360" w:lineRule="auto"/>
              <w:jc w:val="left"/>
              <w:rPr>
                <w:rFonts w:ascii="仿宋" w:hAnsi="仿宋" w:eastAsia="仿宋" w:cs="仿宋"/>
                <w:b/>
                <w:bCs/>
                <w:color w:val="333333"/>
                <w:kern w:val="0"/>
                <w:sz w:val="24"/>
              </w:rPr>
            </w:pPr>
            <w:r>
              <w:rPr>
                <w:rFonts w:hint="eastAsia" w:ascii="仿宋" w:hAnsi="仿宋" w:eastAsia="仿宋" w:cs="仿宋"/>
                <w:b/>
                <w:bCs/>
                <w:color w:val="333333"/>
                <w:kern w:val="0"/>
                <w:sz w:val="24"/>
              </w:rPr>
              <w:t>　建设内容</w:t>
            </w:r>
          </w:p>
        </w:tc>
        <w:tc>
          <w:tcPr>
            <w:tcW w:w="728" w:type="pct"/>
          </w:tcPr>
          <w:p w14:paraId="20E45357">
            <w:pPr>
              <w:widowControl/>
              <w:shd w:val="clear" w:color="auto" w:fill="FFFFFF"/>
              <w:spacing w:before="225" w:after="225" w:line="360" w:lineRule="auto"/>
              <w:jc w:val="left"/>
              <w:rPr>
                <w:rFonts w:ascii="仿宋" w:hAnsi="仿宋" w:eastAsia="仿宋" w:cs="仿宋"/>
                <w:b/>
                <w:bCs/>
                <w:color w:val="333333"/>
                <w:kern w:val="0"/>
                <w:sz w:val="24"/>
              </w:rPr>
            </w:pPr>
            <w:r>
              <w:rPr>
                <w:rFonts w:hint="eastAsia" w:ascii="仿宋" w:hAnsi="仿宋" w:eastAsia="仿宋" w:cs="仿宋"/>
                <w:b/>
                <w:bCs/>
                <w:color w:val="333333"/>
                <w:kern w:val="0"/>
                <w:sz w:val="24"/>
              </w:rPr>
              <w:t>投资金额</w:t>
            </w:r>
          </w:p>
        </w:tc>
      </w:tr>
      <w:tr w14:paraId="43023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3331" w:type="pct"/>
          </w:tcPr>
          <w:p w14:paraId="15C01891">
            <w:pPr>
              <w:widowControl/>
              <w:shd w:val="clear" w:color="auto" w:fill="FFFFFF"/>
              <w:spacing w:before="225" w:after="225" w:line="360" w:lineRule="auto"/>
              <w:jc w:val="left"/>
              <w:rPr>
                <w:rFonts w:ascii="仿宋" w:hAnsi="仿宋" w:eastAsia="仿宋" w:cs="仿宋"/>
                <w:color w:val="333333"/>
                <w:kern w:val="0"/>
                <w:sz w:val="24"/>
              </w:rPr>
            </w:pPr>
            <w:r>
              <w:rPr>
                <w:rFonts w:hint="eastAsia" w:ascii="仿宋" w:hAnsi="仿宋" w:eastAsia="仿宋" w:cs="仿宋"/>
                <w:color w:val="333333"/>
                <w:kern w:val="0"/>
                <w:sz w:val="24"/>
              </w:rPr>
              <w:t>二广高速公路集宁至阿荣旗联络线草高吐（通兴界）至乌兰浩特段</w:t>
            </w:r>
          </w:p>
        </w:tc>
        <w:tc>
          <w:tcPr>
            <w:tcW w:w="940" w:type="pct"/>
          </w:tcPr>
          <w:p w14:paraId="381FE2CD">
            <w:pPr>
              <w:widowControl/>
              <w:shd w:val="clear" w:color="auto" w:fill="FFFFFF"/>
              <w:spacing w:before="225" w:after="225" w:line="360" w:lineRule="auto"/>
              <w:jc w:val="left"/>
              <w:rPr>
                <w:rFonts w:ascii="仿宋" w:hAnsi="仿宋" w:eastAsia="仿宋" w:cs="仿宋"/>
                <w:color w:val="333333"/>
                <w:kern w:val="0"/>
                <w:sz w:val="24"/>
              </w:rPr>
            </w:pPr>
            <w:r>
              <w:rPr>
                <w:rFonts w:hint="eastAsia" w:ascii="仿宋" w:hAnsi="仿宋" w:eastAsia="仿宋" w:cs="仿宋"/>
                <w:color w:val="333333"/>
                <w:kern w:val="0"/>
                <w:sz w:val="24"/>
              </w:rPr>
              <w:t>升级为高速</w:t>
            </w:r>
          </w:p>
        </w:tc>
        <w:tc>
          <w:tcPr>
            <w:tcW w:w="728" w:type="pct"/>
          </w:tcPr>
          <w:p w14:paraId="221847BC">
            <w:pPr>
              <w:widowControl/>
              <w:shd w:val="clear" w:color="auto" w:fill="FFFFFF"/>
              <w:spacing w:before="225" w:after="225" w:line="360" w:lineRule="auto"/>
              <w:jc w:val="left"/>
              <w:rPr>
                <w:rFonts w:ascii="仿宋" w:hAnsi="仿宋" w:eastAsia="仿宋" w:cs="仿宋"/>
                <w:color w:val="333333"/>
                <w:kern w:val="0"/>
                <w:sz w:val="24"/>
              </w:rPr>
            </w:pPr>
            <w:r>
              <w:rPr>
                <w:rFonts w:hint="eastAsia" w:ascii="仿宋" w:hAnsi="仿宋" w:eastAsia="仿宋" w:cs="仿宋"/>
                <w:color w:val="333333"/>
                <w:kern w:val="0"/>
                <w:sz w:val="24"/>
              </w:rPr>
              <w:t>180000</w:t>
            </w:r>
          </w:p>
        </w:tc>
      </w:tr>
      <w:tr w14:paraId="398AB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31" w:type="pct"/>
          </w:tcPr>
          <w:p w14:paraId="55D6CCAA">
            <w:pPr>
              <w:widowControl/>
              <w:shd w:val="clear" w:color="auto" w:fill="FFFFFF"/>
              <w:spacing w:before="225" w:after="225" w:line="360" w:lineRule="auto"/>
              <w:jc w:val="left"/>
              <w:rPr>
                <w:rFonts w:ascii="仿宋" w:hAnsi="仿宋" w:eastAsia="仿宋" w:cs="仿宋"/>
                <w:color w:val="333333"/>
                <w:kern w:val="0"/>
                <w:sz w:val="24"/>
              </w:rPr>
            </w:pPr>
            <w:r>
              <w:rPr>
                <w:rFonts w:hint="eastAsia" w:ascii="仿宋" w:hAnsi="仿宋" w:eastAsia="仿宋" w:cs="仿宋"/>
                <w:color w:val="333333"/>
                <w:kern w:val="0"/>
                <w:sz w:val="24"/>
              </w:rPr>
              <w:t>S309江桥—突泉（突泉段）</w:t>
            </w:r>
          </w:p>
        </w:tc>
        <w:tc>
          <w:tcPr>
            <w:tcW w:w="940" w:type="pct"/>
          </w:tcPr>
          <w:p w14:paraId="3E3DC203">
            <w:pPr>
              <w:widowControl/>
              <w:shd w:val="clear" w:color="auto" w:fill="FFFFFF"/>
              <w:spacing w:before="225" w:after="225" w:line="360" w:lineRule="auto"/>
              <w:jc w:val="left"/>
              <w:rPr>
                <w:rFonts w:ascii="仿宋" w:hAnsi="仿宋" w:eastAsia="仿宋" w:cs="仿宋"/>
                <w:color w:val="333333"/>
                <w:kern w:val="0"/>
                <w:sz w:val="24"/>
              </w:rPr>
            </w:pPr>
            <w:r>
              <w:rPr>
                <w:rFonts w:hint="eastAsia" w:ascii="仿宋" w:hAnsi="仿宋" w:eastAsia="仿宋" w:cs="仿宋"/>
                <w:color w:val="333333"/>
                <w:kern w:val="0"/>
                <w:sz w:val="24"/>
              </w:rPr>
              <w:t>三级改二级</w:t>
            </w:r>
          </w:p>
        </w:tc>
        <w:tc>
          <w:tcPr>
            <w:tcW w:w="728" w:type="pct"/>
          </w:tcPr>
          <w:p w14:paraId="486156A7">
            <w:pPr>
              <w:widowControl/>
              <w:shd w:val="clear" w:color="auto" w:fill="FFFFFF"/>
              <w:spacing w:before="225" w:after="225" w:line="360" w:lineRule="auto"/>
              <w:jc w:val="left"/>
              <w:rPr>
                <w:rFonts w:ascii="仿宋" w:hAnsi="仿宋" w:eastAsia="仿宋" w:cs="仿宋"/>
                <w:color w:val="333333"/>
                <w:kern w:val="0"/>
                <w:sz w:val="24"/>
              </w:rPr>
            </w:pPr>
            <w:r>
              <w:rPr>
                <w:rFonts w:hint="eastAsia" w:ascii="仿宋" w:hAnsi="仿宋" w:eastAsia="仿宋" w:cs="仿宋"/>
                <w:color w:val="333333"/>
                <w:kern w:val="0"/>
                <w:sz w:val="24"/>
              </w:rPr>
              <w:t>68250</w:t>
            </w:r>
          </w:p>
        </w:tc>
      </w:tr>
      <w:tr w14:paraId="65DDD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3331" w:type="pct"/>
          </w:tcPr>
          <w:p w14:paraId="5079AF6B">
            <w:pPr>
              <w:widowControl/>
              <w:shd w:val="clear" w:color="auto" w:fill="FFFFFF"/>
              <w:spacing w:before="225" w:after="225" w:line="360" w:lineRule="auto"/>
              <w:jc w:val="left"/>
              <w:rPr>
                <w:rFonts w:hint="eastAsia" w:ascii="仿宋" w:hAnsi="仿宋" w:eastAsia="仿宋" w:cs="仿宋"/>
                <w:color w:val="333333"/>
                <w:kern w:val="0"/>
                <w:sz w:val="24"/>
                <w:lang w:eastAsia="zh-CN"/>
              </w:rPr>
            </w:pPr>
            <w:r>
              <w:rPr>
                <w:rFonts w:hint="eastAsia" w:ascii="仿宋" w:hAnsi="仿宋" w:eastAsia="仿宋" w:cs="仿宋"/>
                <w:color w:val="333333"/>
                <w:kern w:val="0"/>
                <w:sz w:val="24"/>
              </w:rPr>
              <w:t>G111北京至漠河公路（突泉段）</w:t>
            </w:r>
          </w:p>
          <w:p w14:paraId="1BF1A29F">
            <w:pPr>
              <w:widowControl/>
              <w:shd w:val="clear" w:color="auto" w:fill="FFFFFF"/>
              <w:spacing w:before="225" w:after="225" w:line="360" w:lineRule="auto"/>
              <w:jc w:val="left"/>
              <w:rPr>
                <w:rFonts w:ascii="仿宋" w:hAnsi="仿宋" w:eastAsia="仿宋" w:cs="仿宋"/>
                <w:color w:val="333333"/>
                <w:kern w:val="0"/>
                <w:sz w:val="24"/>
              </w:rPr>
            </w:pPr>
            <w:r>
              <w:rPr>
                <w:rFonts w:hint="eastAsia" w:ascii="仿宋" w:hAnsi="仿宋" w:eastAsia="仿宋" w:cs="仿宋"/>
                <w:color w:val="333333"/>
                <w:kern w:val="0"/>
                <w:sz w:val="24"/>
              </w:rPr>
              <w:t>原巴乌线</w:t>
            </w:r>
          </w:p>
        </w:tc>
        <w:tc>
          <w:tcPr>
            <w:tcW w:w="940" w:type="pct"/>
          </w:tcPr>
          <w:p w14:paraId="3DE1B339">
            <w:pPr>
              <w:widowControl/>
              <w:shd w:val="clear" w:color="auto" w:fill="FFFFFF"/>
              <w:spacing w:before="225" w:after="225" w:line="360" w:lineRule="auto"/>
              <w:jc w:val="left"/>
              <w:rPr>
                <w:rFonts w:ascii="仿宋" w:hAnsi="仿宋" w:eastAsia="仿宋" w:cs="仿宋"/>
                <w:color w:val="333333"/>
                <w:kern w:val="0"/>
                <w:sz w:val="24"/>
              </w:rPr>
            </w:pPr>
            <w:r>
              <w:rPr>
                <w:rFonts w:hint="eastAsia" w:ascii="仿宋" w:hAnsi="仿宋" w:eastAsia="仿宋" w:cs="仿宋"/>
                <w:color w:val="333333"/>
                <w:kern w:val="0"/>
                <w:sz w:val="24"/>
              </w:rPr>
              <w:t>三级改二级</w:t>
            </w:r>
          </w:p>
        </w:tc>
        <w:tc>
          <w:tcPr>
            <w:tcW w:w="728" w:type="pct"/>
          </w:tcPr>
          <w:p w14:paraId="4EC6DFF9">
            <w:pPr>
              <w:widowControl/>
              <w:shd w:val="clear" w:color="auto" w:fill="FFFFFF"/>
              <w:spacing w:before="225" w:after="225" w:line="360" w:lineRule="auto"/>
              <w:jc w:val="left"/>
              <w:rPr>
                <w:rFonts w:ascii="仿宋" w:hAnsi="仿宋" w:eastAsia="仿宋" w:cs="仿宋"/>
                <w:color w:val="333333"/>
                <w:kern w:val="0"/>
                <w:sz w:val="24"/>
              </w:rPr>
            </w:pPr>
            <w:r>
              <w:rPr>
                <w:rFonts w:hint="eastAsia" w:ascii="仿宋" w:hAnsi="仿宋" w:eastAsia="仿宋" w:cs="仿宋"/>
                <w:color w:val="333333"/>
                <w:kern w:val="0"/>
                <w:sz w:val="24"/>
              </w:rPr>
              <w:t>45760</w:t>
            </w:r>
          </w:p>
        </w:tc>
      </w:tr>
      <w:tr w14:paraId="7EF52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31" w:type="pct"/>
          </w:tcPr>
          <w:p w14:paraId="5348B42D">
            <w:pPr>
              <w:widowControl/>
              <w:shd w:val="clear" w:color="auto" w:fill="FFFFFF"/>
              <w:spacing w:before="225" w:after="225" w:line="360" w:lineRule="auto"/>
              <w:jc w:val="left"/>
              <w:rPr>
                <w:rFonts w:ascii="仿宋" w:hAnsi="仿宋" w:eastAsia="仿宋" w:cs="仿宋"/>
                <w:color w:val="333333"/>
                <w:kern w:val="0"/>
                <w:sz w:val="24"/>
              </w:rPr>
            </w:pPr>
            <w:r>
              <w:rPr>
                <w:rFonts w:hint="eastAsia" w:ascii="仿宋" w:hAnsi="仿宋" w:eastAsia="仿宋" w:cs="仿宋"/>
                <w:color w:val="333333"/>
                <w:kern w:val="0"/>
                <w:sz w:val="24"/>
              </w:rPr>
              <w:t>S210突泉-朝阳（突泉段合发至突中交界）</w:t>
            </w:r>
          </w:p>
        </w:tc>
        <w:tc>
          <w:tcPr>
            <w:tcW w:w="940" w:type="pct"/>
          </w:tcPr>
          <w:p w14:paraId="0EA23F3A">
            <w:pPr>
              <w:widowControl/>
              <w:shd w:val="clear" w:color="auto" w:fill="FFFFFF"/>
              <w:spacing w:before="225" w:after="225" w:line="360" w:lineRule="auto"/>
              <w:jc w:val="left"/>
              <w:rPr>
                <w:rFonts w:ascii="仿宋" w:hAnsi="仿宋" w:eastAsia="仿宋" w:cs="仿宋"/>
                <w:color w:val="333333"/>
                <w:kern w:val="0"/>
                <w:sz w:val="24"/>
              </w:rPr>
            </w:pPr>
            <w:r>
              <w:rPr>
                <w:rFonts w:hint="eastAsia" w:ascii="仿宋" w:hAnsi="仿宋" w:eastAsia="仿宋" w:cs="仿宋"/>
                <w:color w:val="333333"/>
                <w:kern w:val="0"/>
                <w:sz w:val="24"/>
              </w:rPr>
              <w:t>四级改二级</w:t>
            </w:r>
          </w:p>
        </w:tc>
        <w:tc>
          <w:tcPr>
            <w:tcW w:w="728" w:type="pct"/>
          </w:tcPr>
          <w:p w14:paraId="0AB0B9BE">
            <w:pPr>
              <w:widowControl/>
              <w:shd w:val="clear" w:color="auto" w:fill="FFFFFF"/>
              <w:spacing w:before="225" w:after="225" w:line="360" w:lineRule="auto"/>
              <w:jc w:val="left"/>
              <w:rPr>
                <w:rFonts w:ascii="仿宋" w:hAnsi="仿宋" w:eastAsia="仿宋" w:cs="仿宋"/>
                <w:color w:val="333333"/>
                <w:kern w:val="0"/>
                <w:sz w:val="24"/>
              </w:rPr>
            </w:pPr>
            <w:r>
              <w:rPr>
                <w:rFonts w:hint="eastAsia" w:ascii="仿宋" w:hAnsi="仿宋" w:eastAsia="仿宋" w:cs="仿宋"/>
                <w:color w:val="333333"/>
                <w:kern w:val="0"/>
                <w:sz w:val="24"/>
              </w:rPr>
              <w:t>28860</w:t>
            </w:r>
          </w:p>
        </w:tc>
      </w:tr>
      <w:tr w14:paraId="1FCA6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3331" w:type="pct"/>
          </w:tcPr>
          <w:p w14:paraId="182346AC">
            <w:pPr>
              <w:widowControl/>
              <w:shd w:val="clear" w:color="auto" w:fill="FFFFFF"/>
              <w:spacing w:before="225" w:after="225" w:line="360" w:lineRule="auto"/>
              <w:jc w:val="left"/>
              <w:rPr>
                <w:rFonts w:ascii="仿宋" w:hAnsi="仿宋" w:eastAsia="仿宋" w:cs="仿宋"/>
                <w:color w:val="333333"/>
                <w:kern w:val="0"/>
                <w:sz w:val="24"/>
              </w:rPr>
            </w:pPr>
            <w:r>
              <w:rPr>
                <w:rFonts w:hint="eastAsia" w:ascii="仿宋" w:hAnsi="仿宋" w:eastAsia="仿宋" w:cs="仿宋"/>
                <w:color w:val="333333"/>
                <w:kern w:val="0"/>
                <w:sz w:val="24"/>
              </w:rPr>
              <w:t>永巴线公路升级改造</w:t>
            </w:r>
          </w:p>
        </w:tc>
        <w:tc>
          <w:tcPr>
            <w:tcW w:w="940" w:type="pct"/>
          </w:tcPr>
          <w:p w14:paraId="3C757645">
            <w:pPr>
              <w:widowControl/>
              <w:shd w:val="clear" w:color="auto" w:fill="FFFFFF"/>
              <w:spacing w:before="225" w:after="225" w:line="360" w:lineRule="auto"/>
              <w:jc w:val="left"/>
              <w:rPr>
                <w:rFonts w:ascii="仿宋" w:hAnsi="仿宋" w:eastAsia="仿宋" w:cs="仿宋"/>
                <w:color w:val="333333"/>
                <w:kern w:val="0"/>
                <w:sz w:val="24"/>
              </w:rPr>
            </w:pPr>
            <w:r>
              <w:rPr>
                <w:rFonts w:hint="eastAsia" w:ascii="仿宋" w:hAnsi="仿宋" w:eastAsia="仿宋" w:cs="仿宋"/>
                <w:color w:val="333333"/>
                <w:kern w:val="0"/>
                <w:sz w:val="24"/>
              </w:rPr>
              <w:t>三级改二级</w:t>
            </w:r>
          </w:p>
        </w:tc>
        <w:tc>
          <w:tcPr>
            <w:tcW w:w="728" w:type="pct"/>
          </w:tcPr>
          <w:p w14:paraId="0CBBF6DF">
            <w:pPr>
              <w:widowControl/>
              <w:shd w:val="clear" w:color="auto" w:fill="FFFFFF"/>
              <w:spacing w:before="225" w:after="225" w:line="360" w:lineRule="auto"/>
              <w:jc w:val="left"/>
              <w:rPr>
                <w:rFonts w:ascii="仿宋" w:hAnsi="仿宋" w:eastAsia="仿宋" w:cs="仿宋"/>
                <w:color w:val="333333"/>
                <w:kern w:val="0"/>
                <w:sz w:val="24"/>
              </w:rPr>
            </w:pPr>
            <w:r>
              <w:rPr>
                <w:rFonts w:hint="eastAsia" w:ascii="仿宋" w:hAnsi="仿宋" w:eastAsia="仿宋" w:cs="仿宋"/>
                <w:color w:val="333333"/>
                <w:kern w:val="0"/>
                <w:sz w:val="24"/>
              </w:rPr>
              <w:t>26715</w:t>
            </w:r>
          </w:p>
        </w:tc>
      </w:tr>
    </w:tbl>
    <w:p w14:paraId="205368A1">
      <w:pPr>
        <w:spacing w:line="360" w:lineRule="auto"/>
        <w:ind w:firstLine="562" w:firstLineChars="200"/>
        <w:rPr>
          <w:rFonts w:ascii="仿宋" w:hAnsi="仿宋" w:eastAsia="仿宋" w:cs="仿宋"/>
          <w:color w:val="333333"/>
          <w:kern w:val="0"/>
          <w:sz w:val="28"/>
          <w:szCs w:val="28"/>
        </w:rPr>
      </w:pPr>
      <w:r>
        <w:rPr>
          <w:rFonts w:hint="eastAsia" w:ascii="仿宋" w:hAnsi="仿宋" w:eastAsia="仿宋" w:cs="仿宋"/>
          <w:b/>
          <w:bCs/>
          <w:color w:val="333333"/>
          <w:kern w:val="0"/>
          <w:sz w:val="28"/>
          <w:szCs w:val="28"/>
        </w:rPr>
        <w:t>“农村公路村村通”目标即将实现，</w:t>
      </w:r>
      <w:r>
        <w:rPr>
          <w:rFonts w:hint="eastAsia" w:ascii="仿宋" w:hAnsi="仿宋" w:eastAsia="仿宋" w:cs="仿宋"/>
          <w:b/>
          <w:bCs/>
          <w:kern w:val="0"/>
          <w:sz w:val="28"/>
          <w:szCs w:val="28"/>
        </w:rPr>
        <w:t>农村公路养护水平明显提高。</w:t>
      </w:r>
      <w:r>
        <w:rPr>
          <w:rFonts w:hint="eastAsia" w:ascii="仿宋" w:hAnsi="仿宋" w:eastAsia="仿宋" w:cs="仿宋"/>
          <w:color w:val="333333"/>
          <w:kern w:val="0"/>
          <w:sz w:val="28"/>
          <w:szCs w:val="28"/>
        </w:rPr>
        <w:t>“四好农村路”建设开展以来，突泉县深入贯彻落实党中央、国务院关于“三农”工作部署和习近平总书记对农村公路的重要指示精神，以解放思想为根本，科学规划为前提，完善体制机制为突破，抓好项目前期为先导，以争取项目资金为总抓手，紧紧围绕“建好、管好、护好、运营好”农村公路的总目标，全面加强农村公路建设管理，推进农村公路建设步伐，把农村公路建设作为重中之重，加快推进农村公路建管养运协调可持续发展，全力加速农村“环境便民”工程建设，大力提升交通运输服务保障水平，为广大农民出行提供保障，取得了理想的活动效果。“十三五”期间，突泉县农村公路建设涉及全县8个乡镇，覆盖面广，线路多，里程长，同时以实现有路必养为目标，</w:t>
      </w:r>
      <w:r>
        <w:rPr>
          <w:rFonts w:hint="eastAsia" w:ascii="仿宋" w:hAnsi="仿宋" w:eastAsia="仿宋" w:cs="仿宋"/>
          <w:kern w:val="0"/>
          <w:sz w:val="28"/>
          <w:szCs w:val="28"/>
        </w:rPr>
        <w:t>县级公路全部列入经常性养护，乡村级公路采取日常养护和集中养护相结合的方式开展养护工作，</w:t>
      </w:r>
      <w:r>
        <w:rPr>
          <w:rFonts w:hint="eastAsia" w:ascii="仿宋" w:hAnsi="仿宋" w:eastAsia="仿宋" w:cs="仿宋"/>
          <w:color w:val="333333"/>
          <w:kern w:val="0"/>
          <w:sz w:val="28"/>
          <w:szCs w:val="28"/>
        </w:rPr>
        <w:t>逐步提高了农村公路列养率。</w:t>
      </w:r>
      <w:r>
        <w:rPr>
          <w:rFonts w:hint="eastAsia" w:ascii="仿宋" w:hAnsi="仿宋" w:eastAsia="仿宋" w:cs="仿宋"/>
          <w:kern w:val="0"/>
          <w:sz w:val="28"/>
          <w:szCs w:val="28"/>
        </w:rPr>
        <w:t>2018年实施的213余公里公路建设项目，得到有序推进。</w:t>
      </w:r>
      <w:r>
        <w:rPr>
          <w:rFonts w:hint="eastAsia" w:ascii="仿宋" w:hAnsi="仿宋" w:eastAsia="仿宋" w:cs="仿宋"/>
          <w:color w:val="333333"/>
          <w:kern w:val="0"/>
          <w:sz w:val="28"/>
          <w:szCs w:val="28"/>
        </w:rPr>
        <w:t>突泉县委县政府严格按照以</w:t>
      </w:r>
      <w:r>
        <w:rPr>
          <w:rFonts w:hint="eastAsia" w:ascii="仿宋" w:hAnsi="仿宋" w:eastAsia="仿宋" w:cs="仿宋"/>
          <w:color w:val="333333"/>
          <w:kern w:val="0"/>
          <w:sz w:val="28"/>
          <w:szCs w:val="28"/>
          <w:lang w:val="en-US" w:eastAsia="zh-CN"/>
        </w:rPr>
        <w:t>习近平同志</w:t>
      </w:r>
      <w:r>
        <w:rPr>
          <w:rFonts w:hint="eastAsia" w:ascii="仿宋" w:hAnsi="仿宋" w:eastAsia="仿宋" w:cs="仿宋"/>
          <w:color w:val="333333"/>
          <w:kern w:val="0"/>
          <w:sz w:val="28"/>
          <w:szCs w:val="28"/>
        </w:rPr>
        <w:t>为核心的党中央制定的脱贫攻坚战略部署，不忘初心</w:t>
      </w:r>
      <w:r>
        <w:rPr>
          <w:rFonts w:hint="eastAsia" w:ascii="仿宋" w:hAnsi="仿宋" w:eastAsia="仿宋" w:cs="仿宋"/>
          <w:color w:val="333333"/>
          <w:kern w:val="0"/>
          <w:sz w:val="28"/>
          <w:szCs w:val="28"/>
          <w:lang w:eastAsia="zh-CN"/>
        </w:rPr>
        <w:t>、</w:t>
      </w:r>
      <w:r>
        <w:rPr>
          <w:rFonts w:hint="eastAsia" w:ascii="仿宋" w:hAnsi="仿宋" w:eastAsia="仿宋" w:cs="仿宋"/>
          <w:color w:val="333333"/>
          <w:kern w:val="0"/>
          <w:sz w:val="28"/>
          <w:szCs w:val="28"/>
        </w:rPr>
        <w:t>牢记使命，坚持交通扶贫的政治方向，把改善乡村通行条件，实施“农村公路村村通”，作为一项重大的“民生工程”来抓，办实事、重实效，一抓到底。</w:t>
      </w:r>
    </w:p>
    <w:p w14:paraId="29FAC661">
      <w:pPr>
        <w:rPr>
          <w:rFonts w:ascii="仿宋" w:hAnsi="仿宋" w:eastAsia="仿宋"/>
          <w:color w:val="000000"/>
          <w:sz w:val="30"/>
          <w:szCs w:val="30"/>
        </w:rPr>
      </w:pPr>
      <w:r>
        <w:rPr>
          <w:rFonts w:hint="eastAsia" w:ascii="仿宋" w:hAnsi="仿宋" w:eastAsia="仿宋"/>
          <w:color w:val="000000"/>
          <w:sz w:val="30"/>
          <w:szCs w:val="30"/>
        </w:rPr>
        <w:t>（2）</w:t>
      </w:r>
      <w:bookmarkEnd w:id="2"/>
      <w:r>
        <w:rPr>
          <w:rFonts w:hint="eastAsia" w:ascii="仿宋" w:hAnsi="仿宋" w:eastAsia="仿宋"/>
          <w:color w:val="000000"/>
          <w:sz w:val="30"/>
          <w:szCs w:val="30"/>
        </w:rPr>
        <w:t>航空运输</w:t>
      </w:r>
    </w:p>
    <w:p w14:paraId="31C4274C">
      <w:pPr>
        <w:widowControl/>
        <w:shd w:val="clear" w:color="auto" w:fill="FFFFFF"/>
        <w:spacing w:line="360" w:lineRule="auto"/>
        <w:ind w:firstLine="560" w:firstLineChars="200"/>
        <w:jc w:val="left"/>
        <w:rPr>
          <w:rFonts w:ascii="仿宋" w:hAnsi="仿宋" w:eastAsia="仿宋" w:cs="仿宋"/>
          <w:kern w:val="0"/>
          <w:sz w:val="28"/>
          <w:szCs w:val="28"/>
        </w:rPr>
      </w:pPr>
      <w:r>
        <w:rPr>
          <w:rFonts w:hint="eastAsia" w:ascii="仿宋" w:hAnsi="仿宋" w:eastAsia="仿宋" w:cs="仿宋"/>
          <w:color w:val="000000"/>
          <w:sz w:val="28"/>
          <w:szCs w:val="28"/>
        </w:rPr>
        <w:t>“十三五”期间，突</w:t>
      </w:r>
      <w:r>
        <w:rPr>
          <w:rFonts w:hint="eastAsia" w:ascii="仿宋" w:hAnsi="仿宋" w:eastAsia="仿宋" w:cs="仿宋"/>
          <w:sz w:val="28"/>
          <w:szCs w:val="28"/>
        </w:rPr>
        <w:t>泉县航空发展深入贯彻落实习近平总书记重要讲话精神，主动服务和融入国家发展战略，坚持“</w:t>
      </w:r>
      <w:r>
        <w:rPr>
          <w:rFonts w:hint="eastAsia" w:ascii="仿宋" w:hAnsi="仿宋" w:eastAsia="仿宋" w:cs="仿宋"/>
          <w:b/>
          <w:bCs/>
          <w:sz w:val="28"/>
          <w:szCs w:val="28"/>
        </w:rPr>
        <w:t>交通—旅游一体化发展</w:t>
      </w:r>
      <w:r>
        <w:rPr>
          <w:rFonts w:hint="eastAsia" w:ascii="仿宋" w:hAnsi="仿宋" w:eastAsia="仿宋" w:cs="仿宋"/>
          <w:sz w:val="28"/>
          <w:szCs w:val="28"/>
        </w:rPr>
        <w:t>”思路，以大力发展草原文化旅游产业为载体，努力把资源优势转化为产业优势、特色优势、经济优势和竞争优势，</w:t>
      </w:r>
      <w:r>
        <w:rPr>
          <w:rFonts w:hint="eastAsia" w:ascii="仿宋" w:hAnsi="仿宋" w:eastAsia="仿宋" w:cs="仿宋"/>
          <w:kern w:val="0"/>
          <w:sz w:val="28"/>
          <w:szCs w:val="28"/>
        </w:rPr>
        <w:t>突泉县按照自治区“七网”同建、“七业”同兴战略部署，</w:t>
      </w:r>
      <w:r>
        <w:rPr>
          <w:rFonts w:hint="eastAsia" w:ascii="仿宋" w:hAnsi="仿宋" w:eastAsia="仿宋" w:cs="仿宋"/>
          <w:color w:val="000000"/>
          <w:sz w:val="28"/>
          <w:szCs w:val="28"/>
        </w:rPr>
        <w:t>根据</w:t>
      </w:r>
      <w:bookmarkStart w:id="63" w:name="_GoBack"/>
      <w:bookmarkEnd w:id="63"/>
      <w:r>
        <w:rPr>
          <w:rFonts w:hint="eastAsia" w:ascii="仿宋" w:hAnsi="仿宋" w:eastAsia="仿宋" w:cs="仿宋"/>
          <w:color w:val="000000"/>
          <w:sz w:val="28"/>
          <w:szCs w:val="28"/>
        </w:rPr>
        <w:t>内蒙古自治区和兴安盟发展规</w:t>
      </w:r>
      <w:r>
        <w:rPr>
          <w:rFonts w:hint="eastAsia" w:ascii="仿宋" w:hAnsi="仿宋" w:eastAsia="仿宋" w:cs="仿宋"/>
          <w:sz w:val="28"/>
          <w:szCs w:val="28"/>
        </w:rPr>
        <w:t>划以及县域经济社会发展需要，</w:t>
      </w:r>
      <w:r>
        <w:rPr>
          <w:rFonts w:hint="eastAsia" w:ascii="仿宋" w:hAnsi="仿宋" w:eastAsia="仿宋" w:cs="仿宋"/>
          <w:kern w:val="0"/>
          <w:sz w:val="28"/>
          <w:szCs w:val="28"/>
        </w:rPr>
        <w:t>坚持把通用机场项目作为重大基础设施项目、县域经济支柱性产业加以全力推进。</w:t>
      </w:r>
      <w:r>
        <w:rPr>
          <w:rFonts w:hint="eastAsia" w:ascii="仿宋" w:hAnsi="仿宋" w:eastAsia="仿宋" w:cs="仿宋"/>
          <w:sz w:val="28"/>
          <w:szCs w:val="28"/>
        </w:rPr>
        <w:t>随着突泉县通用机场选址评审的顺利完成，《突泉县卓尔通用机场投资协议书》、《关于突泉县通用机场场址的审核意见》等文件的进一步落实，突泉县通用机场已正式开工修建，标志着该项目取得实质性进展，突泉县朝着进入航空跨越发展时代，实现突泉各族人民“飞天”出行的梦想迈出了坚实的第一步。</w:t>
      </w:r>
    </w:p>
    <w:p w14:paraId="1C63998A">
      <w:pPr>
        <w:widowControl/>
        <w:shd w:val="clear" w:color="auto" w:fill="FFFFFF"/>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突泉县通用机场位于突泉县城东偏北部、太平乡晨光村境</w:t>
      </w:r>
      <w:r>
        <w:rPr>
          <w:rFonts w:hint="eastAsia" w:ascii="仿宋" w:hAnsi="仿宋" w:eastAsia="仿宋" w:cs="仿宋"/>
          <w:sz w:val="28"/>
          <w:szCs w:val="28"/>
          <w:shd w:val="clear" w:color="auto" w:fill="FFFFFF"/>
        </w:rPr>
        <w:t>内，</w:t>
      </w:r>
      <w:r>
        <w:rPr>
          <w:rFonts w:hint="eastAsia" w:ascii="仿宋" w:hAnsi="仿宋" w:eastAsia="仿宋" w:cs="仿宋"/>
          <w:sz w:val="28"/>
          <w:szCs w:val="28"/>
        </w:rPr>
        <w:t>等级为A类通用机场，A1级，跑道长度为近期1200米，远期2000米。机场设计核心区占地面积750亩，拓展区3000亩。机场主要功能有短途运输、空中游览、航空运动、农牧林作业、防火、应急救援、医疗救护、驾驶培训、空中拍摄、测绘等。拟飞机型为Y12-E飞机等类型通用飞机、AC352等各类直升飞机及其他小型飞机。</w:t>
      </w:r>
      <w:r>
        <w:rPr>
          <w:rFonts w:hint="eastAsia" w:ascii="仿宋" w:hAnsi="仿宋" w:eastAsia="仿宋" w:cs="仿宋"/>
          <w:kern w:val="0"/>
          <w:sz w:val="28"/>
          <w:szCs w:val="28"/>
        </w:rPr>
        <w:t>该项目建成后，不仅可以改善突泉县交通运输条件，满足日益增长的农业灾备、紧急救援、旅游出行、森林防火等需求，更能够促进全县经济高质量发展，而且对于开辟航空产业新领域，带动旅游、商务、科技等产业发展具有历史性的重大意义。</w:t>
      </w:r>
    </w:p>
    <w:p w14:paraId="43079EBD">
      <w:pPr>
        <w:rPr>
          <w:rFonts w:ascii="仿宋" w:hAnsi="仿宋" w:eastAsia="仿宋"/>
          <w:color w:val="000000"/>
          <w:sz w:val="30"/>
          <w:szCs w:val="30"/>
        </w:rPr>
      </w:pPr>
      <w:bookmarkStart w:id="3" w:name="_Toc37147839"/>
      <w:r>
        <w:rPr>
          <w:rFonts w:hint="eastAsia" w:ascii="仿宋" w:hAnsi="仿宋" w:eastAsia="仿宋"/>
          <w:color w:val="000000"/>
          <w:sz w:val="30"/>
          <w:szCs w:val="30"/>
        </w:rPr>
        <w:t>（3）客运枢纽场站</w:t>
      </w:r>
      <w:bookmarkEnd w:id="3"/>
    </w:p>
    <w:p w14:paraId="43031C49">
      <w:pPr>
        <w:pStyle w:val="7"/>
        <w:spacing w:before="122" w:line="364" w:lineRule="auto"/>
        <w:ind w:right="249" w:firstLine="559"/>
        <w:jc w:val="both"/>
        <w:rPr>
          <w:rFonts w:ascii="仿宋" w:hAnsi="仿宋" w:eastAsia="仿宋" w:cs="仿宋"/>
          <w:kern w:val="2"/>
          <w:shd w:val="clear" w:color="auto" w:fill="FFFFFF"/>
          <w:lang w:val="en-US" w:bidi="ar-SA"/>
        </w:rPr>
      </w:pPr>
      <w:r>
        <w:rPr>
          <w:rFonts w:hint="eastAsia" w:ascii="仿宋" w:hAnsi="仿宋" w:eastAsia="仿宋" w:cs="仿宋"/>
          <w:kern w:val="2"/>
          <w:shd w:val="clear" w:color="auto" w:fill="FFFFFF"/>
          <w:lang w:val="en-US" w:bidi="ar-SA"/>
        </w:rPr>
        <w:t>客运枢纽场站是运输生产的重要节点，也是城市客运服务质量的门户形象。突泉县现只有一个汽车客运站即突泉汽车站, 场站布局尚未成体系，并且存在部分无固定场站、售票单一，功能单一，服务水平不高，运营管理水平低等情况，难以适应县域经济与交通运输协同发展，特别是城市化发展对象客运交通的要求。突泉客运站目前承担了大部分的出行压力，建设规模和运行结构有待进一步完善。</w:t>
      </w:r>
    </w:p>
    <w:p w14:paraId="3C7A85A6">
      <w:pPr>
        <w:rPr>
          <w:rFonts w:ascii="仿宋" w:hAnsi="仿宋" w:eastAsia="仿宋"/>
          <w:color w:val="000000"/>
          <w:sz w:val="30"/>
          <w:szCs w:val="30"/>
        </w:rPr>
      </w:pPr>
      <w:bookmarkStart w:id="4" w:name="_Toc37147840"/>
      <w:r>
        <w:rPr>
          <w:rFonts w:hint="eastAsia" w:ascii="仿宋" w:hAnsi="仿宋" w:eastAsia="仿宋"/>
          <w:color w:val="000000"/>
          <w:sz w:val="30"/>
          <w:szCs w:val="30"/>
        </w:rPr>
        <w:t>（4）邮政</w:t>
      </w:r>
      <w:bookmarkEnd w:id="4"/>
      <w:r>
        <w:rPr>
          <w:rFonts w:hint="eastAsia" w:ascii="仿宋" w:hAnsi="仿宋" w:eastAsia="仿宋"/>
          <w:color w:val="000000"/>
          <w:sz w:val="30"/>
          <w:szCs w:val="30"/>
        </w:rPr>
        <w:t>及物流</w:t>
      </w:r>
    </w:p>
    <w:p w14:paraId="064A52D1">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shd w:val="clear" w:color="auto" w:fill="FFFFFF"/>
        </w:rPr>
        <w:t>邮电通信业继续保持稳定增长</w:t>
      </w:r>
      <w:r>
        <w:rPr>
          <w:rFonts w:hint="eastAsia" w:ascii="仿宋" w:hAnsi="仿宋" w:eastAsia="仿宋" w:cs="仿宋"/>
          <w:sz w:val="28"/>
          <w:szCs w:val="28"/>
        </w:rPr>
        <w:t>，信息化、标准化水平明显提升。突泉县</w:t>
      </w:r>
      <w:r>
        <w:rPr>
          <w:rFonts w:hint="eastAsia" w:ascii="仿宋" w:hAnsi="仿宋" w:eastAsia="仿宋" w:cs="仿宋"/>
          <w:sz w:val="28"/>
          <w:szCs w:val="28"/>
          <w:shd w:val="clear" w:color="auto" w:fill="FFFFFF"/>
        </w:rPr>
        <w:t>辖6镇、3乡、188个行政村、464个自然屯，加快了</w:t>
      </w:r>
      <w:r>
        <w:rPr>
          <w:rFonts w:hint="eastAsia" w:ascii="仿宋" w:hAnsi="仿宋" w:eastAsia="仿宋" w:cs="仿宋"/>
          <w:sz w:val="28"/>
          <w:szCs w:val="28"/>
        </w:rPr>
        <w:t>快递网点到村镇的铺设进度，覆盖率得到显著提高，为实现频次稳定、安全便捷、邮件投递到村的邮政服务迈进了一大步，但与农村电商快速发展对物流供应链的需求数量、质量还不适应，无论配送能力和服务水平都与城乡物流一体化发展的总体要求还有较大差距。</w:t>
      </w:r>
    </w:p>
    <w:p w14:paraId="28BCA6C2">
      <w:pPr>
        <w:widowControl/>
        <w:spacing w:line="360" w:lineRule="auto"/>
        <w:ind w:firstLine="562" w:firstLineChars="200"/>
        <w:rPr>
          <w:rFonts w:ascii="仿宋" w:hAnsi="仿宋" w:eastAsia="仿宋" w:cs="仿宋"/>
          <w:sz w:val="28"/>
          <w:szCs w:val="28"/>
          <w:shd w:val="clear" w:color="auto" w:fill="FFFFFF"/>
        </w:rPr>
      </w:pPr>
      <w:r>
        <w:rPr>
          <w:rFonts w:hint="eastAsia" w:ascii="仿宋" w:hAnsi="仿宋" w:eastAsia="仿宋" w:cs="仿宋"/>
          <w:b/>
          <w:bCs/>
          <w:sz w:val="28"/>
          <w:szCs w:val="28"/>
          <w:shd w:val="clear" w:color="auto" w:fill="FFFFFF"/>
        </w:rPr>
        <w:t>物流快递资源整合，协调发展</w:t>
      </w:r>
      <w:r>
        <w:rPr>
          <w:rFonts w:hint="eastAsia" w:ascii="仿宋" w:hAnsi="仿宋" w:eastAsia="仿宋" w:cs="仿宋"/>
          <w:sz w:val="28"/>
          <w:szCs w:val="28"/>
        </w:rPr>
        <w:t>。突泉贯彻落实文件精神，坚持“快递下乡、邮政先行”的指导思想，主动向地方党委政府汇报和加强与相关部门的沟通和协调，出台促进邮政快递业发展实施意见和快递电商协同发展实施意见。同时，注重做好快递物流节点的规划发展，大力推进</w:t>
      </w:r>
      <w:r>
        <w:rPr>
          <w:rFonts w:hint="eastAsia" w:ascii="仿宋" w:hAnsi="仿宋" w:eastAsia="仿宋" w:cs="仿宋"/>
          <w:sz w:val="28"/>
          <w:szCs w:val="28"/>
          <w:shd w:val="clear" w:color="auto" w:fill="FFFFFF"/>
        </w:rPr>
        <w:t>突泉县电子商务产业园建设，搭建县级电子商务公共服务中心及电子商务网络销售平台，营造良好的电子商务发展环境，建设乡镇级电子商务服务站9家，乡镇覆盖率已达100% 。通过整合物流快递资源，降低运输成本、提高配送效率，打开乡村市场，实现便民、利民、促发展，不断拓宽物流发展维度，完善物流服务体系，促进县、乡（镇）、村经济发展提质加速，实现了物流快递资源整合。同时建立了专业运营团队，在电子商务公共服务中心开展代运营，面向社会提供电商服务以及开展网络普及性培训。</w:t>
      </w:r>
    </w:p>
    <w:p w14:paraId="47050352">
      <w:pPr>
        <w:widowControl/>
        <w:spacing w:line="360" w:lineRule="auto"/>
        <w:ind w:firstLine="562" w:firstLineChars="200"/>
        <w:rPr>
          <w:rFonts w:ascii="仿宋" w:hAnsi="仿宋" w:eastAsia="仿宋" w:cs="仿宋"/>
          <w:sz w:val="28"/>
          <w:szCs w:val="28"/>
        </w:rPr>
      </w:pPr>
      <w:r>
        <w:rPr>
          <w:rFonts w:hint="eastAsia" w:ascii="仿宋" w:hAnsi="仿宋" w:eastAsia="仿宋" w:cs="仿宋"/>
          <w:b/>
          <w:bCs/>
          <w:sz w:val="28"/>
          <w:szCs w:val="28"/>
        </w:rPr>
        <w:t>县级物流服务体系建成，服务水平显著提升。按照“城乡运输物流一体化协调发展”的思路，</w:t>
      </w:r>
      <w:r>
        <w:rPr>
          <w:rFonts w:hint="eastAsia" w:ascii="仿宋" w:hAnsi="仿宋" w:eastAsia="仿宋" w:cs="仿宋"/>
          <w:sz w:val="28"/>
          <w:szCs w:val="28"/>
        </w:rPr>
        <w:t>以农村流通现代化为目标，快速推进电子商务在农村的应用与发展，支持农村种植、养殖专业合作社、面向农村便民连锁超市，结合实体网络、售后服务渠道等完善农村流通电子商务公共服务平台，解决“最后一公里”配送，完善集实体网络、供求交易、物流配送等功能为一体的农村电子商务综合服务网络体系。建设乡镇级物流快递超市9家，通过建设乡镇物流站点，购买物流设备、开通网络等，乡镇覆盖率已达100% 。　</w:t>
      </w:r>
    </w:p>
    <w:p w14:paraId="31AF492C">
      <w:pPr>
        <w:spacing w:line="360" w:lineRule="auto"/>
        <w:ind w:firstLine="562" w:firstLineChars="200"/>
        <w:rPr>
          <w:rFonts w:ascii="楷体" w:hAnsi="楷体" w:eastAsia="楷体"/>
          <w:sz w:val="24"/>
        </w:rPr>
      </w:pPr>
      <w:r>
        <w:rPr>
          <w:rFonts w:hint="eastAsia" w:ascii="仿宋" w:hAnsi="仿宋" w:eastAsia="仿宋" w:cs="仿宋"/>
          <w:b/>
          <w:bCs/>
          <w:kern w:val="0"/>
          <w:sz w:val="28"/>
          <w:szCs w:val="28"/>
        </w:rPr>
        <w:t>春州物流园区建设完善，物流业运营水平有效提升。</w:t>
      </w:r>
      <w:r>
        <w:rPr>
          <w:rFonts w:hint="eastAsia" w:ascii="仿宋" w:hAnsi="仿宋" w:eastAsia="仿宋" w:cs="仿宋"/>
          <w:sz w:val="28"/>
          <w:szCs w:val="28"/>
        </w:rPr>
        <w:t>突泉春州物流园区项目规划总占地面积5000亩，规划建设面积为200万平方米，总投资20亿元，分三期建设。此园区是集蔬菜、农资、农机、建材、仓储、物流、汽贸、电子产业、高新技术、商住十大产业区为一体的综合性物流园区。</w:t>
      </w:r>
      <w:r>
        <w:rPr>
          <w:rFonts w:hint="eastAsia" w:ascii="仿宋" w:hAnsi="仿宋" w:eastAsia="仿宋" w:cs="仿宋"/>
          <w:kern w:val="0"/>
          <w:sz w:val="28"/>
          <w:szCs w:val="28"/>
        </w:rPr>
        <w:t>春州城市广场、物流园区投入运营，快递公司增至9家，物流企业增至47家，市场主体总量达到1.25万家，消费市场活力不断激发。2019年春州物流园区累计投资4亿元，建成果蔬、农资、建材市场和仓储物流区9万平方米，物流吞吐能力大幅提高。品味突泉电商平台入驻商户548家，电商美食节、汽车文化节和农特产品北京推介会取得圆满成功，带动全县电子商务交易额4440万元，同比增长40%。市场主体总量达到1.4万家，同比增长20.5%，消费市场不断升级。</w:t>
      </w:r>
      <w:r>
        <w:rPr>
          <w:rFonts w:hint="eastAsia" w:ascii="仿宋" w:hAnsi="仿宋" w:eastAsia="仿宋" w:cs="仿宋"/>
          <w:sz w:val="28"/>
          <w:szCs w:val="28"/>
        </w:rPr>
        <w:t>快检中心、冷冻保鲜、仓储物流、装卸运输等配套设施完善。项目建成后，将进一步优化产业结构，改善城区经营环境，降低流通成本，增加百姓收入，推动农产品、农资、建材、汽贸、仓储、物流等市场向规模化、专业化方向发展。</w:t>
      </w:r>
    </w:p>
    <w:p w14:paraId="5E6B0CDC">
      <w:pPr>
        <w:rPr>
          <w:rFonts w:ascii="仿宋" w:hAnsi="仿宋" w:eastAsia="仿宋"/>
          <w:color w:val="000000"/>
          <w:sz w:val="30"/>
          <w:szCs w:val="30"/>
        </w:rPr>
      </w:pPr>
      <w:bookmarkStart w:id="5" w:name="_Toc37147841"/>
      <w:r>
        <w:rPr>
          <w:rFonts w:hint="eastAsia" w:ascii="仿宋" w:hAnsi="仿宋" w:eastAsia="仿宋"/>
          <w:color w:val="000000"/>
          <w:sz w:val="30"/>
          <w:szCs w:val="30"/>
        </w:rPr>
        <w:t>（5）应急保障</w:t>
      </w:r>
      <w:bookmarkEnd w:id="5"/>
    </w:p>
    <w:p w14:paraId="6979C026">
      <w:pPr>
        <w:tabs>
          <w:tab w:val="right" w:leader="dot" w:pos="8306"/>
        </w:tabs>
        <w:spacing w:line="360" w:lineRule="auto"/>
        <w:ind w:firstLine="562" w:firstLineChars="200"/>
        <w:rPr>
          <w:rFonts w:ascii="仿宋" w:hAnsi="仿宋" w:eastAsia="仿宋" w:cs="仿宋"/>
          <w:kern w:val="0"/>
          <w:sz w:val="28"/>
          <w:szCs w:val="28"/>
        </w:rPr>
      </w:pPr>
      <w:r>
        <w:rPr>
          <w:rFonts w:hint="eastAsia" w:ascii="仿宋" w:hAnsi="仿宋" w:eastAsia="仿宋" w:cs="仿宋"/>
          <w:b/>
          <w:bCs/>
          <w:kern w:val="0"/>
          <w:sz w:val="28"/>
          <w:szCs w:val="28"/>
        </w:rPr>
        <w:t>应急保障能力进一步加强。</w:t>
      </w:r>
      <w:r>
        <w:rPr>
          <w:rFonts w:hint="eastAsia" w:ascii="仿宋" w:hAnsi="仿宋" w:eastAsia="仿宋" w:cs="仿宋"/>
          <w:kern w:val="0"/>
          <w:sz w:val="28"/>
          <w:szCs w:val="28"/>
        </w:rPr>
        <w:t>“十三五”期间，为进一步健全突泉县交通运输局及所属各单位应对自然灾害应急支援工作程序和制度，形成统一指挥、反应灵敏、信息畅通、协调有序、运转高效的防抗自然灾害工作机制，根据一系列应急预案结合部门职责，制定了自然灾害应急预案和应急指挥组织体系。同时为进一步完善应急管理体制机制，加强预防和高效处置重大灾害发生时道路交通保通保畅工作的能力和完成紧急客货运输任务，制定了公路保畅保通专项方案，应急保障能力得到进一步加强。</w:t>
      </w:r>
    </w:p>
    <w:p w14:paraId="7FA23E33">
      <w:pPr>
        <w:rPr>
          <w:rFonts w:ascii="仿宋" w:hAnsi="仿宋" w:eastAsia="仿宋"/>
          <w:color w:val="000000"/>
          <w:sz w:val="30"/>
          <w:szCs w:val="30"/>
        </w:rPr>
      </w:pPr>
      <w:bookmarkStart w:id="6" w:name="_Toc37147842"/>
      <w:r>
        <w:rPr>
          <w:rFonts w:hint="eastAsia" w:ascii="仿宋" w:hAnsi="仿宋" w:eastAsia="仿宋"/>
          <w:color w:val="000000"/>
          <w:sz w:val="30"/>
          <w:szCs w:val="30"/>
        </w:rPr>
        <w:t>（6）安全监管</w:t>
      </w:r>
      <w:bookmarkEnd w:id="6"/>
    </w:p>
    <w:p w14:paraId="184A0BA6">
      <w:pPr>
        <w:tabs>
          <w:tab w:val="right" w:leader="dot" w:pos="8306"/>
        </w:tabs>
        <w:spacing w:line="360" w:lineRule="auto"/>
        <w:ind w:firstLine="562" w:firstLineChars="200"/>
        <w:rPr>
          <w:rFonts w:ascii="仿宋" w:hAnsi="仿宋" w:eastAsia="仿宋" w:cs="仿宋"/>
          <w:bCs/>
          <w:color w:val="000000"/>
          <w:sz w:val="28"/>
          <w:szCs w:val="28"/>
        </w:rPr>
      </w:pPr>
      <w:r>
        <w:rPr>
          <w:rFonts w:hint="eastAsia" w:ascii="仿宋" w:hAnsi="仿宋" w:eastAsia="仿宋" w:cs="仿宋"/>
          <w:b/>
          <w:bCs/>
          <w:kern w:val="0"/>
          <w:sz w:val="28"/>
          <w:szCs w:val="28"/>
        </w:rPr>
        <w:t>安全监管工作平稳有序。</w:t>
      </w:r>
      <w:r>
        <w:rPr>
          <w:rFonts w:hint="eastAsia" w:ascii="仿宋" w:hAnsi="仿宋" w:eastAsia="仿宋" w:cs="仿宋"/>
          <w:kern w:val="0"/>
          <w:sz w:val="28"/>
          <w:szCs w:val="28"/>
        </w:rPr>
        <w:t>“十三五”期间，全面落实安全生产各项管理制度；</w:t>
      </w:r>
      <w:r>
        <w:rPr>
          <w:rFonts w:hint="eastAsia" w:ascii="仿宋" w:hAnsi="仿宋" w:eastAsia="仿宋" w:cs="仿宋"/>
          <w:bCs/>
          <w:color w:val="000000"/>
          <w:sz w:val="28"/>
          <w:szCs w:val="28"/>
        </w:rPr>
        <w:t>按照“一岗双责”要求，严格落实道路运输管理部门的安全生产监管责任，企业的安全生产主体责任，道路运输行业广大干部职工的岗位责任；坚持“安全第一、预防为主、综合治理”的方针，建立了安全生产长效机制，下达了《交通局2018年安全生产工作方案》，制订出台了《交通运输行业安全生产考核办法及考核细则》，按职能提出了工作目标和要求，对相关部门、车站及客运企业等各环节及工作人员的安全生产实行年度量化考核；制定了《党员干部日常管理和监督考核机制》，把从严管理干部贯彻落实到干部队伍建设全过程，引导干部正确认识自己、摆正位置；强化安全生产培训工作，安全生产重点环节人员培训率100%，客运司乘人员持证率及培训率均达到100%；深入开展安全生产隐患大排查大整改，按照领导班子“六包”工作要求，深入到运输一线，加强对重点部门、重要时段安全生产工作的督导，督促客运企业认真落实安全生产主体责任，强化运输车辆动态监管，切实防止驾驶员疲劳、违章驾驶，有效防范和坚决遏制重特大道路运输事故的发生。</w:t>
      </w:r>
    </w:p>
    <w:p w14:paraId="268FBB3D">
      <w:pPr>
        <w:pStyle w:val="4"/>
        <w:rPr>
          <w:rFonts w:ascii="楷体" w:hAnsi="楷体" w:eastAsia="楷体"/>
          <w:color w:val="000000"/>
          <w:sz w:val="28"/>
          <w:szCs w:val="28"/>
        </w:rPr>
      </w:pPr>
      <w:bookmarkStart w:id="7" w:name="_Toc37147843"/>
      <w:r>
        <w:rPr>
          <w:rFonts w:ascii="楷体" w:hAnsi="楷体" w:eastAsia="楷体"/>
          <w:color w:val="000000"/>
          <w:sz w:val="28"/>
          <w:szCs w:val="28"/>
        </w:rPr>
        <w:t>（</w:t>
      </w:r>
      <w:r>
        <w:rPr>
          <w:rFonts w:hint="eastAsia" w:ascii="楷体" w:hAnsi="楷体" w:eastAsia="楷体"/>
          <w:color w:val="000000"/>
          <w:sz w:val="28"/>
          <w:szCs w:val="28"/>
        </w:rPr>
        <w:t>二</w:t>
      </w:r>
      <w:r>
        <w:rPr>
          <w:rFonts w:ascii="楷体" w:hAnsi="楷体" w:eastAsia="楷体"/>
          <w:color w:val="000000"/>
          <w:sz w:val="28"/>
          <w:szCs w:val="28"/>
        </w:rPr>
        <w:t>）</w:t>
      </w:r>
      <w:r>
        <w:rPr>
          <w:rFonts w:hint="eastAsia" w:ascii="楷体" w:hAnsi="楷体" w:eastAsia="楷体"/>
          <w:color w:val="000000"/>
          <w:sz w:val="28"/>
          <w:szCs w:val="28"/>
        </w:rPr>
        <w:t>存在的问题</w:t>
      </w:r>
      <w:bookmarkEnd w:id="7"/>
      <w:r>
        <w:rPr>
          <w:rFonts w:hint="eastAsia" w:ascii="楷体" w:hAnsi="楷体" w:eastAsia="楷体"/>
          <w:color w:val="000000"/>
          <w:sz w:val="28"/>
          <w:szCs w:val="28"/>
        </w:rPr>
        <w:t>及分析</w:t>
      </w:r>
    </w:p>
    <w:p w14:paraId="386D6347">
      <w:pPr>
        <w:pStyle w:val="7"/>
        <w:spacing w:before="213" w:line="364" w:lineRule="auto"/>
        <w:ind w:right="220" w:firstLine="559"/>
        <w:jc w:val="both"/>
        <w:rPr>
          <w:rFonts w:ascii="仿宋" w:hAnsi="仿宋" w:eastAsia="仿宋" w:cs="仿宋"/>
        </w:rPr>
      </w:pPr>
      <w:r>
        <w:rPr>
          <w:rFonts w:hint="eastAsia" w:ascii="仿宋" w:hAnsi="仿宋" w:eastAsia="仿宋" w:cs="仿宋"/>
          <w:spacing w:val="-9"/>
        </w:rPr>
        <w:t>虽然全县交通运输已经取得了长足发展，但</w:t>
      </w:r>
      <w:r>
        <w:rPr>
          <w:rFonts w:hint="eastAsia" w:ascii="仿宋" w:hAnsi="仿宋" w:eastAsia="仿宋" w:cs="仿宋"/>
          <w:spacing w:val="-9"/>
          <w:lang w:val="en-US"/>
        </w:rPr>
        <w:t>由于所处的蒙东地区建设基础整体比较薄弱，起点低，欠账历史多，</w:t>
      </w:r>
      <w:r>
        <w:rPr>
          <w:rFonts w:hint="eastAsia" w:ascii="仿宋" w:hAnsi="仿宋" w:eastAsia="仿宋" w:cs="仿宋"/>
          <w:spacing w:val="-9"/>
        </w:rPr>
        <w:t>与加快融入“一带一路”、</w:t>
      </w:r>
      <w:r>
        <w:rPr>
          <w:rFonts w:hint="eastAsia" w:ascii="仿宋" w:hAnsi="仿宋" w:eastAsia="仿宋" w:cs="仿宋"/>
        </w:rPr>
        <w:t>蒙西经济带圈层协同发展战略的要求</w:t>
      </w:r>
      <w:r>
        <w:rPr>
          <w:rFonts w:hint="eastAsia" w:ascii="仿宋" w:hAnsi="仿宋" w:eastAsia="仿宋" w:cs="仿宋"/>
          <w:spacing w:val="-3"/>
        </w:rPr>
        <w:t>相比，</w:t>
      </w:r>
      <w:r>
        <w:rPr>
          <w:rFonts w:hint="eastAsia" w:ascii="仿宋" w:hAnsi="仿宋" w:eastAsia="仿宋" w:cs="仿宋"/>
          <w:color w:val="000000"/>
        </w:rPr>
        <w:t>还存在一定差距。</w:t>
      </w:r>
      <w:r>
        <w:rPr>
          <w:rFonts w:hint="eastAsia" w:ascii="仿宋" w:hAnsi="仿宋" w:eastAsia="仿宋" w:cs="仿宋"/>
          <w:spacing w:val="-3"/>
        </w:rPr>
        <w:t>主要体现在以下几个方面：</w:t>
      </w:r>
    </w:p>
    <w:p w14:paraId="1A158F1B">
      <w:pPr>
        <w:spacing w:line="360" w:lineRule="auto"/>
        <w:ind w:firstLine="562" w:firstLineChars="200"/>
        <w:rPr>
          <w:rFonts w:ascii="仿宋" w:hAnsi="仿宋" w:eastAsia="仿宋" w:cs="仿宋"/>
          <w:color w:val="000000"/>
          <w:sz w:val="28"/>
          <w:szCs w:val="28"/>
        </w:rPr>
      </w:pPr>
      <w:bookmarkStart w:id="8" w:name="_Toc37147844"/>
      <w:r>
        <w:rPr>
          <w:rFonts w:hint="eastAsia" w:ascii="仿宋" w:hAnsi="仿宋" w:eastAsia="仿宋" w:cs="仿宋"/>
          <w:b/>
          <w:bCs/>
          <w:color w:val="000000"/>
          <w:sz w:val="28"/>
          <w:szCs w:val="28"/>
        </w:rPr>
        <w:t>（1）综合交通运输体系建设发展滞后，方式结构单一，且运力不充分、布局不平衡、运行不协调</w:t>
      </w:r>
      <w:bookmarkEnd w:id="8"/>
    </w:p>
    <w:p w14:paraId="4A6E7C4B">
      <w:pPr>
        <w:tabs>
          <w:tab w:val="right" w:leader="dot" w:pos="8306"/>
        </w:tabs>
        <w:spacing w:line="360" w:lineRule="auto"/>
        <w:ind w:firstLine="560" w:firstLineChars="200"/>
        <w:rPr>
          <w:rFonts w:ascii="仿宋" w:hAnsi="仿宋" w:eastAsia="仿宋" w:cs="仿宋"/>
          <w:color w:val="000000"/>
          <w:sz w:val="28"/>
          <w:szCs w:val="28"/>
        </w:rPr>
      </w:pPr>
      <w:r>
        <w:rPr>
          <w:rFonts w:hint="eastAsia" w:ascii="仿宋" w:hAnsi="仿宋" w:eastAsia="仿宋" w:cs="仿宋"/>
          <w:sz w:val="28"/>
          <w:szCs w:val="28"/>
        </w:rPr>
        <w:t>长期以来公路交通作为突泉县的唯一运输方式，突泉县对公路的建设重视程度已经提高，但是目前</w:t>
      </w:r>
      <w:r>
        <w:rPr>
          <w:rFonts w:hint="eastAsia" w:ascii="仿宋" w:hAnsi="仿宋" w:eastAsia="仿宋" w:cs="仿宋"/>
          <w:color w:val="000000"/>
          <w:sz w:val="28"/>
          <w:szCs w:val="28"/>
        </w:rPr>
        <w:t>发展依旧不充分，总量及等级标准明显不足。在“十三五”期间，突泉对于公路的升级改造做出了突出的贡献，但是发展不够平衡，结构不够合理。高速公路和高等级公路占比明显偏低，制约着突泉县交通运输系统保障能力和运行服务效率的进一步提升。</w:t>
      </w:r>
    </w:p>
    <w:p w14:paraId="234F5872">
      <w:pPr>
        <w:tabs>
          <w:tab w:val="right" w:leader="dot" w:pos="8306"/>
        </w:tabs>
        <w:spacing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从经济社会与交通运输的发展阶段来看，我国的综合交通已进入了运输化的中后期，十二五以来，我国综合交通体系建设总体上已逐步从运输通道主导型转变为综合枢纽主导型阶段。综合交通运输枢纽场站是关系到交通运输与地区经济社会密切联系的重要纽带与直通桥梁，是实现客货流集散、换乘的主要场所，但现有枢纽场站结构与功能过于单一，主要公路客货运枢纽场站存在布局不合理、规模等级偏低、功能配合差、信息管理水平低等问题。功能完备、布局合理的一体化综合交通枢纽建设滞后，各种运输场站在空间上相互割裂，自成体系，尚未形成功能完备、布局合理、能够有效辐射周边区域的现代综合交通枢纽，难以满足旅客便捷出行的发展需要。客运场站功能单一、布局分散，既“不在一起”，更“不在一体”现象突出。特别是综合交通枢纽规划建设滞后，尚未实现客运一体化、货运集约化，过度依赖公路运输导致物流成本居高不下，不仅不利于综合运输的协调发展，同时也影响和制约着本地区经济发展的竞争力。</w:t>
      </w:r>
    </w:p>
    <w:p w14:paraId="6EC0DB70">
      <w:pPr>
        <w:ind w:firstLine="562" w:firstLineChars="200"/>
        <w:rPr>
          <w:rFonts w:ascii="仿宋" w:hAnsi="仿宋" w:eastAsia="仿宋" w:cs="仿宋"/>
          <w:b/>
          <w:bCs/>
          <w:color w:val="000000"/>
          <w:sz w:val="28"/>
          <w:szCs w:val="28"/>
        </w:rPr>
      </w:pPr>
      <w:bookmarkStart w:id="9" w:name="_Toc37147845"/>
      <w:r>
        <w:rPr>
          <w:rFonts w:hint="eastAsia" w:ascii="仿宋" w:hAnsi="仿宋" w:eastAsia="仿宋" w:cs="仿宋"/>
          <w:b/>
          <w:bCs/>
          <w:color w:val="000000"/>
          <w:sz w:val="28"/>
          <w:szCs w:val="28"/>
        </w:rPr>
        <w:t>（2）对外通道连通度及通畅度不足、</w:t>
      </w:r>
      <w:bookmarkEnd w:id="9"/>
      <w:r>
        <w:rPr>
          <w:rFonts w:hint="eastAsia" w:ascii="仿宋" w:hAnsi="仿宋" w:eastAsia="仿宋" w:cs="仿宋"/>
          <w:b/>
          <w:bCs/>
          <w:color w:val="000000"/>
          <w:sz w:val="28"/>
          <w:szCs w:val="28"/>
        </w:rPr>
        <w:t>公路系统规模不足</w:t>
      </w:r>
    </w:p>
    <w:p w14:paraId="56740DD7">
      <w:pPr>
        <w:tabs>
          <w:tab w:val="right" w:leader="dot" w:pos="8306"/>
        </w:tabs>
        <w:spacing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从突泉目前区域交通设施分析，相对于突泉县的省际节点区位优势，目前对外区域连通能力还较为薄弱，连通度低，运能不足，交通基础设施技术水平较低，支撑突泉未来经济社会跨越式发展，特别是适应蒙东城市群协同发展以及区域经济一体化发展有明显短板。突泉的交通基础设施建设总体水平相对滞后，与全盟平均水平差距明显。且现状旅游公路的技术等级较低，规模不足，不能有效支撑突泉旅游业的迅速发展和人们对旅游服务的高质量追求，并且乡村级公路管理养护受资金困扰，技术力量和机械设备严重不足，养护能力需进一步大幅提高。</w:t>
      </w:r>
    </w:p>
    <w:p w14:paraId="75DCB2E6">
      <w:pPr>
        <w:spacing w:line="360" w:lineRule="auto"/>
        <w:ind w:firstLine="562" w:firstLineChars="200"/>
        <w:rPr>
          <w:rFonts w:ascii="仿宋" w:hAnsi="仿宋" w:eastAsia="仿宋" w:cs="仿宋"/>
          <w:b/>
          <w:bCs/>
          <w:color w:val="000000"/>
          <w:sz w:val="28"/>
          <w:szCs w:val="28"/>
        </w:rPr>
      </w:pPr>
      <w:bookmarkStart w:id="10" w:name="_Toc37147846"/>
      <w:r>
        <w:rPr>
          <w:rFonts w:hint="eastAsia" w:ascii="仿宋" w:hAnsi="仿宋" w:eastAsia="仿宋" w:cs="仿宋"/>
          <w:b/>
          <w:bCs/>
          <w:color w:val="000000"/>
          <w:sz w:val="28"/>
          <w:szCs w:val="28"/>
        </w:rPr>
        <w:t>（3）铁路</w:t>
      </w:r>
      <w:bookmarkEnd w:id="10"/>
      <w:r>
        <w:rPr>
          <w:rFonts w:hint="eastAsia" w:ascii="仿宋" w:hAnsi="仿宋" w:eastAsia="仿宋" w:cs="仿宋"/>
          <w:b/>
          <w:bCs/>
          <w:color w:val="000000"/>
          <w:sz w:val="28"/>
          <w:szCs w:val="28"/>
        </w:rPr>
        <w:t>建设进程缓慢，综合交通短板突出，对地区经济制约严重</w:t>
      </w:r>
    </w:p>
    <w:p w14:paraId="4D67D685">
      <w:pPr>
        <w:spacing w:line="360" w:lineRule="auto"/>
        <w:ind w:firstLine="561"/>
        <w:rPr>
          <w:rFonts w:ascii="仿宋" w:hAnsi="仿宋" w:eastAsia="仿宋" w:cs="仿宋"/>
          <w:color w:val="000000"/>
          <w:sz w:val="28"/>
          <w:szCs w:val="28"/>
        </w:rPr>
      </w:pPr>
      <w:r>
        <w:rPr>
          <w:rFonts w:hint="eastAsia" w:ascii="仿宋" w:hAnsi="仿宋" w:eastAsia="仿宋" w:cs="仿宋"/>
          <w:color w:val="000000"/>
          <w:sz w:val="28"/>
          <w:szCs w:val="28"/>
        </w:rPr>
        <w:t>进入21世纪以来，铁路建设逐渐成为我国边疆欠发达地区经济社会发展的主要短板和制约因素，同时也区域综合交通规划建设发展的重点方向。兴安盟作为蒙东资源型边远地区，不通铁路现状难以根本改变。突泉虽有良好的交通区位优势，但铁路建设严重滞后，起步较晚，从现有铁路规划来看，长春至西巴彦花铁路作为全国第一条由民营企业参股投资建设的铁路，正线全长393.41公里，预计总投资达164.67亿元，设计行车速度为每小时120公里，建设工期为3年。其中突泉县境内项目段57.198公里，途经该县16个村。长春至西巴彦花铁路建成将标志着突泉县不通铁路的历史结束。但是突泉段铁路建设迟迟不能开工，铁路基础设施远远不能适应经济社会发展的需要，从而导致突泉县对外连通度和运输能力均不足，有待于进一步规划建设，铁路建设需尽快提上日程。</w:t>
      </w:r>
    </w:p>
    <w:p w14:paraId="4B076001">
      <w:pPr>
        <w:ind w:firstLine="562" w:firstLineChars="200"/>
        <w:rPr>
          <w:rFonts w:ascii="仿宋" w:hAnsi="仿宋" w:eastAsia="仿宋" w:cs="仿宋"/>
          <w:b/>
          <w:bCs/>
          <w:color w:val="000000"/>
          <w:sz w:val="28"/>
          <w:szCs w:val="28"/>
        </w:rPr>
      </w:pPr>
      <w:bookmarkStart w:id="11" w:name="_Toc37147848"/>
      <w:r>
        <w:rPr>
          <w:rFonts w:hint="eastAsia" w:ascii="仿宋" w:hAnsi="仿宋" w:eastAsia="仿宋" w:cs="仿宋"/>
          <w:b/>
          <w:bCs/>
          <w:color w:val="000000"/>
          <w:sz w:val="28"/>
          <w:szCs w:val="28"/>
        </w:rPr>
        <w:t>（4）农村公路通达有余、通畅不足，“四好农村路”建设离广大人民群众的热烈期盼仍有不小距离，与蒙东其他县市相比仍有很大差距</w:t>
      </w:r>
      <w:bookmarkEnd w:id="11"/>
    </w:p>
    <w:p w14:paraId="23F41A18">
      <w:pPr>
        <w:tabs>
          <w:tab w:val="right" w:leader="dot" w:pos="8306"/>
        </w:tabs>
        <w:spacing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受资金及自然条件的限制，部分撤并建制村尚未通达硬化路，且部分道路安全标志、标线等安全设施缺失，存在安全隐患，自然村尚未达到通达通畅的目标，重要旅游公路不能有效支撑突泉旅游水平的建设目标，制约了旅游业的进一步发展，且农村公路等级普遍较低，路基较窄，县乡道路与县际相邻乡镇不通畅，补短板、强基础的压力巨大。</w:t>
      </w:r>
    </w:p>
    <w:p w14:paraId="279970F5">
      <w:pPr>
        <w:ind w:firstLine="562" w:firstLineChars="200"/>
        <w:rPr>
          <w:rFonts w:ascii="仿宋" w:hAnsi="仿宋" w:eastAsia="仿宋" w:cs="仿宋"/>
          <w:b/>
          <w:bCs/>
          <w:color w:val="000000"/>
          <w:sz w:val="28"/>
          <w:szCs w:val="28"/>
        </w:rPr>
      </w:pPr>
      <w:bookmarkStart w:id="12" w:name="_Toc37147850"/>
      <w:r>
        <w:rPr>
          <w:rFonts w:hint="eastAsia" w:ascii="仿宋" w:hAnsi="仿宋" w:eastAsia="仿宋" w:cs="仿宋"/>
          <w:b/>
          <w:bCs/>
          <w:color w:val="000000"/>
          <w:sz w:val="28"/>
          <w:szCs w:val="28"/>
        </w:rPr>
        <w:t>（5）航空建设步伐滞后</w:t>
      </w:r>
      <w:bookmarkEnd w:id="12"/>
      <w:r>
        <w:rPr>
          <w:rFonts w:hint="eastAsia" w:ascii="仿宋" w:hAnsi="仿宋" w:eastAsia="仿宋" w:cs="仿宋"/>
          <w:b/>
          <w:bCs/>
          <w:color w:val="000000"/>
          <w:sz w:val="28"/>
          <w:szCs w:val="28"/>
        </w:rPr>
        <w:t>，远距离运输不便</w:t>
      </w:r>
    </w:p>
    <w:p w14:paraId="568644C0">
      <w:pPr>
        <w:tabs>
          <w:tab w:val="right" w:leader="dot" w:pos="8306"/>
        </w:tabs>
        <w:spacing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突泉县通用机场选址的推进虽将实现突泉航空的零突破，但受资金、技术等因素影响目前尚未建成，突泉县的客货运仍只能依赖于公路这一种运输方式，满足不了本地区特色旅游、商贸经济发展的时效性要求。随着突泉县运输发展需求日益提高，突泉现有建设水平与其矛盾日益突出，改善旅游交通可达性，促进当地旅游业新发展，机场建设迫在眉睫。</w:t>
      </w:r>
    </w:p>
    <w:p w14:paraId="75454565">
      <w:pPr>
        <w:ind w:firstLine="562" w:firstLineChars="200"/>
        <w:rPr>
          <w:rFonts w:ascii="仿宋" w:hAnsi="仿宋" w:eastAsia="仿宋" w:cs="仿宋"/>
          <w:b/>
          <w:bCs/>
          <w:color w:val="000000"/>
          <w:sz w:val="28"/>
          <w:szCs w:val="28"/>
        </w:rPr>
      </w:pPr>
      <w:r>
        <w:rPr>
          <w:rFonts w:hint="eastAsia" w:ascii="仿宋" w:hAnsi="仿宋" w:eastAsia="仿宋" w:cs="仿宋"/>
          <w:b/>
          <w:bCs/>
          <w:color w:val="000000"/>
          <w:sz w:val="28"/>
          <w:szCs w:val="28"/>
        </w:rPr>
        <w:t>（6）融资渠道单一，交通发展的资金短缺问题进一步凸显，交通建设资金需求与供给矛盾突出</w:t>
      </w:r>
    </w:p>
    <w:p w14:paraId="196C8FAC">
      <w:pPr>
        <w:tabs>
          <w:tab w:val="right" w:leader="dot" w:pos="8306"/>
        </w:tabs>
        <w:spacing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lang w:bidi="zh-CN"/>
        </w:rPr>
        <w:t>长期以来，受当地政府财力十分有限的制约影响，基础设施建设资金缺口矛盾日益凸显。当前，制约突泉县交通基础设施建设的资金、土地、环境等因素仍然存在，特别是资金需求与供给矛盾突出。由于财政转移支付的基本支出基数近年来一直没有调整，受各种因素交织影响，预算支出增加，其中产生的差额和不足对突泉县道路运输的正常管理带来影响。近期，国家财政部等四部委再次强调要进一步规范地方政府融资平台行为，这将给交通基础设施建设资金筹措增加新的压力。</w:t>
      </w:r>
    </w:p>
    <w:p w14:paraId="0A31C49C">
      <w:pPr>
        <w:spacing w:line="360" w:lineRule="auto"/>
        <w:rPr>
          <w:rFonts w:ascii="仿宋" w:hAnsi="仿宋" w:eastAsia="仿宋" w:cs="仿宋"/>
          <w:b/>
          <w:bCs/>
          <w:sz w:val="28"/>
          <w:szCs w:val="28"/>
        </w:rPr>
      </w:pPr>
      <w:r>
        <w:rPr>
          <w:rFonts w:hint="eastAsia" w:ascii="仿宋" w:hAnsi="仿宋" w:eastAsia="仿宋" w:cs="仿宋"/>
          <w:b/>
          <w:bCs/>
          <w:color w:val="000000"/>
          <w:sz w:val="28"/>
          <w:szCs w:val="28"/>
        </w:rPr>
        <w:t>（7）交通运输信息化、智能化起步晚、起点低，智慧交通短板突出，交通应急处置与</w:t>
      </w:r>
      <w:r>
        <w:rPr>
          <w:rFonts w:hint="eastAsia" w:ascii="仿宋" w:hAnsi="仿宋" w:eastAsia="仿宋" w:cs="仿宋"/>
          <w:b/>
          <w:bCs/>
          <w:sz w:val="28"/>
          <w:szCs w:val="28"/>
        </w:rPr>
        <w:t>服务能力有待提升</w:t>
      </w:r>
    </w:p>
    <w:p w14:paraId="133A892F">
      <w:pPr>
        <w:spacing w:line="360" w:lineRule="auto"/>
        <w:ind w:firstLine="560" w:firstLineChars="200"/>
        <w:rPr>
          <w:rFonts w:ascii="仿宋" w:hAnsi="仿宋" w:eastAsia="仿宋" w:cs="仿宋"/>
          <w:color w:val="000000"/>
          <w:sz w:val="28"/>
          <w:szCs w:val="28"/>
          <w:lang w:bidi="zh-CN"/>
        </w:rPr>
      </w:pPr>
      <w:r>
        <w:rPr>
          <w:rFonts w:hint="eastAsia" w:ascii="仿宋" w:hAnsi="仿宋" w:eastAsia="仿宋" w:cs="仿宋"/>
          <w:color w:val="000000"/>
          <w:sz w:val="28"/>
          <w:szCs w:val="28"/>
          <w:lang w:bidi="zh-CN"/>
        </w:rPr>
        <w:t>2014年交通运输部提出了“四个交通”的发展目标，其中，综合交通、智慧交通、平安交通都离不开信息化、智能化技术支持。包括突泉县在内的蒙东地区由于</w:t>
      </w:r>
      <w:r>
        <w:rPr>
          <w:rFonts w:hint="eastAsia" w:ascii="仿宋" w:hAnsi="仿宋" w:eastAsia="仿宋" w:cs="仿宋"/>
          <w:color w:val="000000"/>
          <w:sz w:val="28"/>
          <w:szCs w:val="28"/>
        </w:rPr>
        <w:t>资金、技术、人才的长期匮乏，导致交通信息化、智能化基础十分薄弱，</w:t>
      </w:r>
      <w:r>
        <w:rPr>
          <w:rFonts w:hint="eastAsia" w:ascii="仿宋" w:hAnsi="仿宋" w:eastAsia="仿宋" w:cs="仿宋"/>
          <w:color w:val="000000"/>
          <w:sz w:val="28"/>
          <w:szCs w:val="28"/>
          <w:lang w:bidi="zh-CN"/>
        </w:rPr>
        <w:t>交通运输主管部门及运输企业提供的出行信息服务与社会公众期待体验感受还有差距。行业公众信息服务方式和手段难以适应快速的信息社会进程，单独依赖行业管理部门提供的信息服务不能满足日益增长及日趋个性化的需求。改革开放40多年来，我国的工业化、城市化、运输化程度总体上已经步入了中后期阶段，交通运输事业已经从数量满足型为主导，过渡到数量、质量、效益协同发展的阶段，全面提升交通运输服务水平成为交通运输行业发展的主要目标。党的十九大提出的交通强国战略的推进实施不仅仅依靠建设资金的投入增加，更多的是依靠科技进步，技术创新发展，交通运输信息化、智能化水平是制约交通运输服务水平的关键因素。在“十三五”期间以及“十四五”中各省市高度重视智慧交通的规划建设，并成为提升服务水平，改变行业形象的重要抓手。突泉县交通信息化、智能化基础薄弱、起点低、起步晚，短板突出，应在“十四五”交通规划中从战略高度加以重视，充分利用“交通强国战略”的重要历史机遇，发挥后发优势，弯道超车，迎头赶上。</w:t>
      </w:r>
    </w:p>
    <w:p w14:paraId="21D4307F">
      <w:pPr>
        <w:tabs>
          <w:tab w:val="right" w:leader="dot" w:pos="8306"/>
        </w:tabs>
        <w:spacing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综上所述，经过近年来的交通建设，突泉县交通运输发展虽然有所提升，但仍未得到根本性扭转，“结构不合理、发展不平衡、衔接不顺畅”仍是突泉县交通运输的主要问题。加快构建现代综合交通运输体系，推进交通运输加快发展，提升交通基础设施建设水平，发挥综合运输整体优势和组合效率，已成为当前突泉县交通运输发展的紧迫任务。</w:t>
      </w:r>
    </w:p>
    <w:p w14:paraId="004FCFC8"/>
    <w:p w14:paraId="1716540C">
      <w:pPr>
        <w:rPr>
          <w:rFonts w:eastAsiaTheme="minorEastAsia"/>
        </w:rPr>
      </w:pPr>
    </w:p>
    <w:p w14:paraId="17780E39">
      <w:pPr>
        <w:pStyle w:val="3"/>
        <w:numPr>
          <w:ilvl w:val="0"/>
          <w:numId w:val="1"/>
        </w:numPr>
      </w:pPr>
      <w:r>
        <w:rPr>
          <w:rFonts w:hint="eastAsia"/>
        </w:rPr>
        <w:t>发展形势与需求</w:t>
      </w:r>
    </w:p>
    <w:p w14:paraId="2C81EAE6">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十四五”时期是“两个百年”奋斗目标的历史交汇期，是全面开启社会主义现代化强国建设新征程的重要机遇期，也是突泉县高质量跨越式发展、助力建设草原丝绸之路东端中心的关键期。随着国家重大发展战略的实施，突泉县资源优势、区位优势和开放优势将更加凸显。同时，突泉县综合交通基础仍相对较为薄弱，“十四五”是交通运输由“基本适应”向“提质增效”的转换期，是基础设施网络完善、运输服务水平提高和转型发展的关键期，是开启全面建设交通强国的起步期。经济社会发展新形势、新任务对突泉县“十四五”交通运输发展提出了一系列新的要求：</w:t>
      </w:r>
    </w:p>
    <w:p w14:paraId="0506FC6A">
      <w:pPr>
        <w:spacing w:line="360" w:lineRule="auto"/>
        <w:ind w:firstLine="562" w:firstLineChars="200"/>
        <w:rPr>
          <w:rFonts w:ascii="仿宋" w:hAnsi="仿宋" w:eastAsia="仿宋" w:cs="仿宋"/>
          <w:b/>
          <w:bCs/>
          <w:sz w:val="28"/>
          <w:szCs w:val="28"/>
        </w:rPr>
      </w:pPr>
      <w:r>
        <w:rPr>
          <w:rFonts w:hint="eastAsia" w:ascii="仿宋" w:hAnsi="仿宋" w:eastAsia="仿宋" w:cs="仿宋"/>
          <w:b/>
          <w:bCs/>
          <w:sz w:val="28"/>
          <w:szCs w:val="28"/>
        </w:rPr>
        <w:t>（一）一带一路、交通强国等国家战略的需要</w:t>
      </w:r>
    </w:p>
    <w:p w14:paraId="0120B006">
      <w:pPr>
        <w:pStyle w:val="15"/>
        <w:spacing w:line="360" w:lineRule="auto"/>
        <w:ind w:firstLine="560"/>
        <w:rPr>
          <w:rFonts w:ascii="仿宋" w:hAnsi="仿宋" w:eastAsia="仿宋" w:cs="仿宋"/>
          <w:sz w:val="28"/>
          <w:szCs w:val="28"/>
        </w:rPr>
      </w:pPr>
      <w:r>
        <w:rPr>
          <w:rFonts w:hint="eastAsia" w:ascii="仿宋" w:hAnsi="仿宋" w:eastAsia="仿宋" w:cs="仿宋"/>
          <w:sz w:val="28"/>
          <w:szCs w:val="28"/>
        </w:rPr>
        <w:t>2013年9月和10月，国家主席习近平分别提出建设“新丝绸之路经济带” 和“21 世纪海上丝绸之路”的合作倡议，即“一带一路”</w:t>
      </w:r>
      <w:r>
        <w:rPr>
          <w:rFonts w:hint="eastAsia" w:ascii="仿宋" w:hAnsi="仿宋" w:eastAsia="仿宋" w:cs="仿宋"/>
          <w:sz w:val="28"/>
          <w:szCs w:val="28"/>
          <w:lang w:val="en-US" w:eastAsia="zh-CN"/>
        </w:rPr>
        <w:t>倡议</w:t>
      </w:r>
      <w:r>
        <w:rPr>
          <w:rFonts w:hint="eastAsia" w:ascii="仿宋" w:hAnsi="仿宋" w:eastAsia="仿宋" w:cs="仿宋"/>
          <w:sz w:val="28"/>
          <w:szCs w:val="28"/>
        </w:rPr>
        <w:t xml:space="preserve">，要求要加快实施自由贸易区战略，推动同周边国家互联互通，提高我国开放型经济水平。强调相关各国要打造互利共赢的“利益共同体”和共同发展繁荣的“命运共同体”。 </w:t>
      </w:r>
    </w:p>
    <w:p w14:paraId="16DAFC86">
      <w:pPr>
        <w:pStyle w:val="15"/>
        <w:spacing w:line="360" w:lineRule="auto"/>
        <w:ind w:firstLine="560"/>
        <w:rPr>
          <w:rFonts w:ascii="仿宋" w:hAnsi="仿宋" w:eastAsia="仿宋" w:cs="仿宋"/>
          <w:sz w:val="28"/>
          <w:szCs w:val="28"/>
        </w:rPr>
      </w:pPr>
      <w:r>
        <w:rPr>
          <w:rFonts w:hint="eastAsia" w:ascii="仿宋" w:hAnsi="仿宋" w:eastAsia="仿宋" w:cs="仿宋"/>
          <w:sz w:val="28"/>
          <w:szCs w:val="28"/>
        </w:rPr>
        <w:t>党的十九大提出建设交通强国战略目标，应着力架好“四梁八柱”，建设“八大体系”。为统筹推进交通强国建设，由中共中央、国务院于 2019年9月印发实施《交通强国建设纲要》，就基础设施布局完善、立体互联； 交通装备先进适用、完备可控；运输服务便捷舒适、经济高效；科技创新富有活力、智慧引领；安全保障完善可靠、反应快速；绿色发展节约集约、低碳环保；开放合作面向全球、互利共赢；人才队伍精良专业、创新奉献； 完善治理体系，提升治理能力；保障措施等提出具体要求。</w:t>
      </w:r>
    </w:p>
    <w:p w14:paraId="7B04603C">
      <w:pPr>
        <w:pStyle w:val="15"/>
        <w:spacing w:line="360" w:lineRule="auto"/>
        <w:ind w:firstLine="0" w:firstLineChars="0"/>
        <w:rPr>
          <w:rFonts w:ascii="仿宋" w:hAnsi="仿宋" w:eastAsia="仿宋" w:cs="仿宋"/>
          <w:sz w:val="28"/>
          <w:szCs w:val="28"/>
        </w:rPr>
      </w:pPr>
      <w:r>
        <w:rPr>
          <w:rFonts w:hint="eastAsia" w:ascii="仿宋" w:hAnsi="仿宋" w:eastAsia="仿宋" w:cs="仿宋"/>
          <w:sz w:val="28"/>
          <w:szCs w:val="28"/>
        </w:rPr>
        <w:t xml:space="preserve">    突泉县地处内蒙古自治区兴安盟中南部，与科右前旗、科右中旗接壤，毗邻吉林省。草原丝绸之路作为古丝绸之路的重要组成部分，是蒙古草原地带沟通亚欧大陆的商贸大通道。 “一带一路”、交通强国战略为突泉县交通运输发展抢抓历史机遇，为其交通基础设施的建设提供重要的外部机遇。突泉县要主动融入并服务于“一带一路”和交通强国的国家战略，加快与周边国家或盟市的互联互通，尽快融入一带一路圈层，构建互联互通的交通网络，提升区域战略地位。</w:t>
      </w:r>
    </w:p>
    <w:p w14:paraId="79FC4BBA">
      <w:pPr>
        <w:spacing w:line="360" w:lineRule="auto"/>
        <w:rPr>
          <w:rFonts w:ascii="仿宋" w:hAnsi="仿宋" w:eastAsia="仿宋" w:cs="仿宋"/>
          <w:b/>
          <w:bCs/>
          <w:sz w:val="28"/>
          <w:szCs w:val="28"/>
        </w:rPr>
      </w:pPr>
      <w:r>
        <w:rPr>
          <w:rFonts w:hint="eastAsia" w:ascii="仿宋" w:hAnsi="仿宋" w:eastAsia="仿宋" w:cs="仿宋"/>
          <w:b/>
          <w:bCs/>
          <w:sz w:val="28"/>
          <w:szCs w:val="28"/>
        </w:rPr>
        <w:t>（二）东北振兴战略及东部盟市跨越发展对交通运输需求</w:t>
      </w:r>
    </w:p>
    <w:p w14:paraId="70F9D9C3">
      <w:pPr>
        <w:spacing w:line="360" w:lineRule="auto"/>
        <w:ind w:firstLine="560" w:firstLineChars="200"/>
        <w:rPr>
          <w:rFonts w:ascii="仿宋" w:hAnsi="仿宋" w:eastAsia="仿宋" w:cs="仿宋"/>
          <w:color w:val="333333"/>
          <w:sz w:val="28"/>
          <w:szCs w:val="28"/>
          <w:shd w:val="clear" w:color="auto" w:fill="FFFFFF"/>
        </w:rPr>
      </w:pPr>
      <w:r>
        <w:rPr>
          <w:rFonts w:hint="eastAsia" w:ascii="仿宋" w:hAnsi="仿宋" w:eastAsia="仿宋" w:cs="仿宋"/>
          <w:sz w:val="28"/>
          <w:szCs w:val="28"/>
        </w:rPr>
        <w:t>2016年4月26日，《中共中央国务院关于全面振兴东北地区等老工业基地的若干意见》对外发布，强调持续用力，抓好新一轮东北振兴战略的实施，以全面深化改革创新，提升东北老工业基地的发展活力、内生动力和整体竞争力为引领，提出了</w:t>
      </w:r>
      <w:r>
        <w:rPr>
          <w:rFonts w:hint="eastAsia" w:ascii="仿宋" w:hAnsi="仿宋" w:eastAsia="仿宋" w:cs="仿宋"/>
          <w:color w:val="333333"/>
          <w:sz w:val="28"/>
          <w:szCs w:val="28"/>
          <w:shd w:val="clear" w:color="auto" w:fill="FFFFFF"/>
        </w:rPr>
        <w:t>对推动东北地区经济企稳向好意义重大的政策举措。</w:t>
      </w:r>
    </w:p>
    <w:p w14:paraId="5FFBDEC4">
      <w:pPr>
        <w:spacing w:line="360" w:lineRule="auto"/>
        <w:ind w:firstLine="560" w:firstLineChars="200"/>
        <w:rPr>
          <w:rFonts w:ascii="仿宋" w:hAnsi="仿宋" w:eastAsia="仿宋" w:cs="仿宋"/>
          <w:color w:val="191919"/>
          <w:sz w:val="28"/>
          <w:szCs w:val="28"/>
          <w:shd w:val="clear" w:color="auto" w:fill="FFFFFF"/>
        </w:rPr>
      </w:pPr>
      <w:r>
        <w:rPr>
          <w:rFonts w:hint="eastAsia" w:ascii="仿宋" w:hAnsi="仿宋" w:eastAsia="仿宋" w:cs="仿宋"/>
          <w:color w:val="333333"/>
          <w:sz w:val="28"/>
          <w:szCs w:val="28"/>
          <w:shd w:val="clear" w:color="auto" w:fill="FFFFFF"/>
        </w:rPr>
        <w:t>当前正处于东部盟市跨越发展的关键时期，要深入落实新一轮东北振兴战略，坚持以新发展理念引领经济发展新常态，需</w:t>
      </w:r>
      <w:r>
        <w:rPr>
          <w:rFonts w:hint="eastAsia" w:ascii="仿宋" w:hAnsi="仿宋" w:eastAsia="仿宋" w:cs="仿宋"/>
          <w:color w:val="191919"/>
          <w:sz w:val="28"/>
          <w:szCs w:val="28"/>
          <w:shd w:val="clear" w:color="auto" w:fill="FFFFFF"/>
        </w:rPr>
        <w:t>要全面推进铁路网、公路网、航空网、能源网、互联网和水网等六大网络基础设施建设，为推动区域发展、服务国家战略提供有力支撑。</w:t>
      </w:r>
    </w:p>
    <w:p w14:paraId="17B51918">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突泉县所在的兴安盟地处东北部，与吉林省、黑龙江省相接；而突泉县又位于整个蒙东地区南、北两大板块的结合部，属于兴安盟，乃至蒙东北地区向西南方向对接的京津冀核心区域的门户地带，区位优势显著，对于国土开发空间规划意义重大。突泉县要牢牢把握东北盟市协同跨越发展的机遇，准确把握国家、区盟投资政策导向，统筹考虑资源禀赋、市场条件和产业基础，积极发展自身经济。结合突泉县经济发展的新目标和定位，随着经济的高效增长必然带来全县境内、跨地区交通运输量的增长，需要构建交通基础设施，满足设施系统与运输需求之间合理、高效的供需关系，助力经济发展。</w:t>
      </w:r>
    </w:p>
    <w:p w14:paraId="2B91D649">
      <w:pPr>
        <w:spacing w:line="360" w:lineRule="auto"/>
        <w:rPr>
          <w:rFonts w:ascii="仿宋" w:hAnsi="仿宋" w:eastAsia="仿宋" w:cs="仿宋"/>
          <w:b/>
          <w:bCs/>
          <w:sz w:val="28"/>
          <w:szCs w:val="28"/>
        </w:rPr>
      </w:pPr>
      <w:r>
        <w:rPr>
          <w:rFonts w:hint="eastAsia" w:ascii="仿宋" w:hAnsi="仿宋" w:eastAsia="仿宋" w:cs="仿宋"/>
          <w:b/>
          <w:bCs/>
          <w:sz w:val="28"/>
          <w:szCs w:val="28"/>
        </w:rPr>
        <w:t>（三）兴安盟新型城镇化发展对交通一体化的需求</w:t>
      </w:r>
    </w:p>
    <w:p w14:paraId="3CFFCBF2">
      <w:pPr>
        <w:pStyle w:val="15"/>
        <w:spacing w:line="360" w:lineRule="auto"/>
        <w:ind w:firstLine="560"/>
        <w:rPr>
          <w:rFonts w:ascii="仿宋" w:hAnsi="仿宋" w:eastAsia="仿宋" w:cs="仿宋"/>
          <w:color w:val="191919"/>
          <w:sz w:val="28"/>
          <w:szCs w:val="28"/>
          <w:shd w:val="clear" w:color="auto" w:fill="FFFFFF"/>
        </w:rPr>
      </w:pPr>
      <w:r>
        <w:rPr>
          <w:rFonts w:hint="eastAsia" w:ascii="仿宋" w:hAnsi="仿宋" w:eastAsia="仿宋" w:cs="仿宋"/>
          <w:color w:val="191919"/>
          <w:sz w:val="28"/>
          <w:szCs w:val="28"/>
          <w:shd w:val="clear" w:color="auto" w:fill="FFFFFF"/>
        </w:rPr>
        <w:t>2019年国家发改委印发《2019年新型城镇化建设重点任务》，明确了城镇化是现代化的必由之路，也是乡村振兴和区域协调发展的有力支撑。突泉县要以交通为主攻点，破解城乡基础设施瓶颈。突泉县的城镇化格局需要综合运输网络作为强力支撑和引导，要从全县新型城镇化的需求出发，在加快构建和完善对外联系通道的同时，从满足支撑全县城镇体系空间结构发展的要求出发，强化县内运输网络，改善主城区和周边小城镇的交通条件等方面着手，合理布局综合运输网络，提高综合运输网络的服务和保障能力。推进长春至突泉至西巴彦花铁路突泉段建设，密切跟踪齐齐哈尔至通辽高铁项目动态，推进省际通道升级为高速公路、巴乌公路和阿力得尔至突泉段公路升级为二级公路、永巴公路维修改造工程。此外，对于旅游型、绿色农业型、工业型重点打造联络线建设规划，实现联络线和高等级公路系统的快速连通；交通行政区加强公路网的覆盖等。</w:t>
      </w:r>
    </w:p>
    <w:p w14:paraId="6C480E9C">
      <w:pPr>
        <w:spacing w:line="360" w:lineRule="auto"/>
        <w:rPr>
          <w:rFonts w:ascii="仿宋" w:hAnsi="仿宋" w:eastAsia="仿宋" w:cs="仿宋"/>
          <w:b/>
          <w:bCs/>
          <w:sz w:val="28"/>
          <w:szCs w:val="28"/>
        </w:rPr>
      </w:pPr>
      <w:r>
        <w:rPr>
          <w:rFonts w:hint="eastAsia" w:ascii="仿宋" w:hAnsi="仿宋" w:eastAsia="仿宋" w:cs="仿宋"/>
          <w:b/>
          <w:bCs/>
          <w:sz w:val="28"/>
          <w:szCs w:val="28"/>
        </w:rPr>
        <w:t>（四）</w:t>
      </w:r>
      <w:r>
        <w:rPr>
          <w:rFonts w:hint="eastAsia" w:ascii="仿宋" w:hAnsi="仿宋" w:eastAsia="仿宋" w:cs="仿宋"/>
          <w:b/>
          <w:bCs/>
          <w:color w:val="191919"/>
          <w:sz w:val="28"/>
          <w:szCs w:val="28"/>
          <w:shd w:val="clear" w:color="auto" w:fill="FFFFFF"/>
        </w:rPr>
        <w:t>新型工业化、农牧业现代化、城乡商贸物流潜力巨大，急需解决综合交通运输支撑保障力不足的瓶颈制约因素</w:t>
      </w:r>
    </w:p>
    <w:p w14:paraId="727FB4FE">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突泉县拥有三大循环经济工业园区，即</w:t>
      </w:r>
      <w:r>
        <w:rPr>
          <w:rFonts w:hint="eastAsia" w:ascii="仿宋" w:hAnsi="仿宋" w:eastAsia="仿宋" w:cs="仿宋"/>
          <w:color w:val="191919"/>
          <w:sz w:val="28"/>
          <w:szCs w:val="28"/>
          <w:shd w:val="clear" w:color="auto" w:fill="FFFFFF"/>
        </w:rPr>
        <w:t>赛银花现代农业生态园区、曙光现代农业园区和春州物流园区，助力工业、农业、物流发展。突泉县新型工业化、农牧业现代化、城乡一体化运输与物流潜力巨大，完善交通基础设施网络，构建综合运输体系任重道远。为加快产业结构调整、促进产业转型升级，突泉县坚持政府主导、市场运作、多元投入的发展政策，集中打造了“三大园区”产业板块。努力改善支撑工业发展、农业发展的基础条件，统筹推进新型工业化、农牧业现代化、城乡一体化，切实改善民生，增强经济持续发展能力。这势必会对全县公路网的建设提出更高的要求。目前，突泉县公路网建设不完善、等级偏低、联通不足等问题仍较突出，服务企业“最后一公里”问题亟待改善。以公路为主的交通网络是许多贫困地区最基础甚至是唯一的交通方式，也是最重要的生产生活服务设施。因此，要把公路建设作为交通脱贫攻坚的重中之重，显著改善突泉县生产生活条件，解决好服务企业“最后一公里”问题，为脱贫致富提供坚实基础。</w:t>
      </w:r>
    </w:p>
    <w:p w14:paraId="62A7BC8F">
      <w:pPr>
        <w:spacing w:line="360" w:lineRule="auto"/>
        <w:rPr>
          <w:rFonts w:ascii="仿宋" w:hAnsi="仿宋" w:eastAsia="仿宋" w:cs="仿宋"/>
          <w:b/>
          <w:bCs/>
          <w:sz w:val="28"/>
          <w:szCs w:val="28"/>
        </w:rPr>
      </w:pPr>
      <w:r>
        <w:rPr>
          <w:rFonts w:hint="eastAsia" w:ascii="仿宋" w:hAnsi="仿宋" w:eastAsia="仿宋" w:cs="仿宋"/>
          <w:b/>
          <w:bCs/>
          <w:sz w:val="28"/>
          <w:szCs w:val="28"/>
        </w:rPr>
        <w:t>（五）推进大数据与交通运输产业深度融合的需要</w:t>
      </w:r>
    </w:p>
    <w:p w14:paraId="21097D4F">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根据国家和内蒙古自治区的决策部署，按照“示范引路、云数结合、分业施策、全面铺开”的原则，围绕重点产业，以龙头企业为核心，以互联网、大数据、云计算、物联网、人工智能等新一代信息技术为支撑，在各个环节推动大数据与产业深度融合，促进大数据在产品全生命周期和全产业链应用，逐步形成数据驱动的产业发展新模式。</w:t>
      </w:r>
    </w:p>
    <w:p w14:paraId="1B0CA91B">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面对发展迅猛的信息化建设，突泉县应大力发展智慧交通，部署“互联网+交通”工作，积极推进移动互联网、云计算、大数据等先进技术与理念与交通运输全领域全过程的深度融合，实现交通运输组织智能化、管理服务高效化和决策支持科学化。交通能耗、污染、设施建设造成的环境破坏都极大的挑战区域脆弱的生态环境。突泉县要大力提升环保和生态保护理念，通过科学决策和有效管理，最大限度地保护生态环境，降低资源和能源的消耗，使交通的发展与自然和谐一致。平安交通是现代交通发展的根本前提，突泉县要坚持预防为主，重心下移，把工作重点转移到安全监管、治理隐患、防范事故上来，进一步完善体制、健全机制、落实责任、强化措施，全面加强安全工作，确保交通运输的持续稳定。</w:t>
      </w:r>
    </w:p>
    <w:p w14:paraId="198F421A">
      <w:pPr>
        <w:numPr>
          <w:ilvl w:val="0"/>
          <w:numId w:val="2"/>
        </w:numPr>
        <w:spacing w:line="360" w:lineRule="auto"/>
        <w:ind w:firstLine="562" w:firstLineChars="200"/>
        <w:rPr>
          <w:rFonts w:ascii="仿宋" w:hAnsi="仿宋" w:eastAsia="仿宋" w:cs="仿宋"/>
          <w:b/>
          <w:bCs/>
          <w:sz w:val="28"/>
          <w:szCs w:val="28"/>
        </w:rPr>
      </w:pPr>
      <w:r>
        <w:rPr>
          <w:rFonts w:hint="eastAsia" w:ascii="仿宋" w:hAnsi="仿宋" w:eastAsia="仿宋" w:cs="仿宋"/>
          <w:b/>
          <w:bCs/>
          <w:sz w:val="28"/>
          <w:szCs w:val="28"/>
        </w:rPr>
        <w:t>落实“四个交通”行业发展目标的客观要求</w:t>
      </w:r>
    </w:p>
    <w:p w14:paraId="313312D8">
      <w:pPr>
        <w:numPr>
          <w:ilvl w:val="255"/>
          <w:numId w:val="0"/>
        </w:numPr>
        <w:spacing w:line="360" w:lineRule="auto"/>
        <w:ind w:firstLine="560" w:firstLineChars="200"/>
        <w:rPr>
          <w:rFonts w:ascii="仿宋" w:hAnsi="仿宋" w:eastAsia="仿宋" w:cs="仿宋"/>
          <w:sz w:val="28"/>
          <w:szCs w:val="28"/>
        </w:rPr>
      </w:pPr>
      <w:r>
        <w:rPr>
          <w:rFonts w:ascii="仿宋" w:hAnsi="仿宋" w:eastAsia="仿宋" w:cs="仿宋"/>
          <w:sz w:val="28"/>
          <w:szCs w:val="28"/>
        </w:rPr>
        <w:t>2014年全国交通运输工作会上提出，当前和今后一个时期要全面深化改革，集中力量加快推进“四个交通”发展。“四个交通”是指综合交通、智慧交通、绿色交通、平安交通。</w:t>
      </w:r>
      <w:r>
        <w:rPr>
          <w:rFonts w:hint="eastAsia" w:ascii="仿宋" w:hAnsi="仿宋" w:eastAsia="仿宋" w:cs="仿宋"/>
          <w:sz w:val="28"/>
          <w:szCs w:val="28"/>
        </w:rPr>
        <w:t>其中，</w:t>
      </w:r>
      <w:r>
        <w:rPr>
          <w:rFonts w:ascii="仿宋" w:hAnsi="仿宋" w:eastAsia="仿宋" w:cs="仿宋"/>
          <w:sz w:val="28"/>
          <w:szCs w:val="28"/>
        </w:rPr>
        <w:t>加快发展综合交通，核心是从基本国情和国家战略出发，顺应新型工业化、信息化、城镇化、农业现代化同步发展的新需求，统筹规划铁路、公路、水路、民航以及邮政行业发展，建立完善与综合交通相适应的制度体制机制，提升服务水平、物流效率和整体效益。发展智慧交通核心是以重大科技突破牵引交通运输转型升级，围绕支撑重大工程建设、提高存量资产使用 效能和提升运输服务品质，抓好重大科技研发，协调推进原始创新、集成创新和引进消化吸收再创新，推动基础性、前瞻性和共性关键技术突破和工程化产业化发展，加快建设市场导向、企业主体、产学研结合的行业技术创新体系，促进科技成果转化为交通运输生产力。加快发展平安交通核心是坚持管行业必须管安全、管业务必须管安全，重心下移、工作下沉，健全完善科 学规范、运行有效的安全生产责任体系，焊牢企业主体和行业安全监管的责任链，加强督促检查、严格考核奖惩，对有章不循、有章不依的问题不放过、严查处，切 实把安全责任落实到一线、落实到岗位、落实到人头。发展绿色交通核心是以资源环境承载力为基础，以节约资源、提高能效、控制排放、保护环境为目标，加快推进绿色循环低碳交通基础设施建设、节能环保运输装备应用、集约高效运输组织体系建设</w:t>
      </w:r>
      <w:r>
        <w:rPr>
          <w:rFonts w:hint="eastAsia" w:ascii="仿宋" w:hAnsi="仿宋" w:eastAsia="仿宋" w:cs="仿宋"/>
          <w:sz w:val="28"/>
          <w:szCs w:val="28"/>
        </w:rPr>
        <w:t>。</w:t>
      </w:r>
    </w:p>
    <w:p w14:paraId="7E538455">
      <w:pPr>
        <w:numPr>
          <w:ilvl w:val="255"/>
          <w:numId w:val="0"/>
        </w:num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交通运输部“四个交通”的战略目标涵盖了交通基础设施规划、建设、运行、服务各个方面，为突泉县“十四五”交通运输事业自身的建设发展进一步明确方向和着力点。</w:t>
      </w:r>
    </w:p>
    <w:p w14:paraId="4C492EDF">
      <w:pPr>
        <w:rPr>
          <w:rFonts w:eastAsiaTheme="minorEastAsia"/>
        </w:rPr>
      </w:pPr>
    </w:p>
    <w:p w14:paraId="4C5F8C09">
      <w:pPr>
        <w:pStyle w:val="3"/>
        <w:numPr>
          <w:ilvl w:val="0"/>
          <w:numId w:val="3"/>
        </w:numPr>
        <w:ind w:left="0"/>
      </w:pPr>
      <w:r>
        <w:rPr>
          <w:rFonts w:hint="eastAsia"/>
        </w:rPr>
        <w:t>“十四五”发展战略与目标定位</w:t>
      </w:r>
    </w:p>
    <w:p w14:paraId="56F79F32">
      <w:pPr>
        <w:keepNext/>
        <w:keepLines/>
        <w:spacing w:line="360" w:lineRule="auto"/>
        <w:outlineLvl w:val="2"/>
        <w:rPr>
          <w:rFonts w:ascii="仿宋" w:hAnsi="仿宋" w:eastAsia="仿宋" w:cs="仿宋"/>
          <w:b/>
          <w:bCs/>
          <w:sz w:val="28"/>
          <w:szCs w:val="28"/>
        </w:rPr>
      </w:pPr>
      <w:r>
        <w:rPr>
          <w:rFonts w:hint="eastAsia" w:ascii="仿宋" w:hAnsi="仿宋" w:eastAsia="仿宋" w:cs="仿宋"/>
          <w:b/>
          <w:bCs/>
          <w:sz w:val="28"/>
          <w:szCs w:val="28"/>
        </w:rPr>
        <w:t>（一）指导思想</w:t>
      </w:r>
    </w:p>
    <w:p w14:paraId="6E18C3B1">
      <w:pPr>
        <w:tabs>
          <w:tab w:val="right" w:leader="dot" w:pos="8306"/>
        </w:tabs>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以习近平新时代中国特色社会主义思想、习近平总书记考察内蒙古重要指示精神为指导，贯彻落实一带一路政策，以交通强国战略、《交通强国建设纲要》、《国家综合立体交通网规划纲要（2021-2050年）》、综合交通运输大数据发展行动纲要(2020—2025年）、《贯彻落实习近平总书记重要指示精神做好交通建设项目更多向进村入户倾斜的指导意见》等为指导思想，按照现代化构发展的要求，全面建设“四个交通”。坚持强化大交通理念，实施乡村振兴战略，加快构建便捷高效的“快进”交通网络、建设满足旅游体验的“慢游”交通网络，统筹推进公路、邮政、物流、综合交通枢纽等基础设施网络建设，加强各种运输方式的立体互联，实现各方式有效衔接，着力打造布局完善、互联互通、绿色智能、耐久可靠的综合交通运输体系。</w:t>
      </w:r>
    </w:p>
    <w:p w14:paraId="12F5B9A0">
      <w:pPr>
        <w:keepNext/>
        <w:keepLines/>
        <w:spacing w:line="360" w:lineRule="auto"/>
        <w:outlineLvl w:val="2"/>
        <w:rPr>
          <w:rFonts w:ascii="仿宋" w:hAnsi="仿宋" w:eastAsia="仿宋" w:cs="仿宋"/>
          <w:b/>
          <w:bCs/>
          <w:sz w:val="28"/>
          <w:szCs w:val="28"/>
        </w:rPr>
      </w:pPr>
      <w:bookmarkStart w:id="13" w:name="_Toc19652"/>
      <w:bookmarkStart w:id="14" w:name="_Toc27042911"/>
      <w:r>
        <w:rPr>
          <w:rFonts w:hint="eastAsia" w:ascii="仿宋" w:hAnsi="仿宋" w:eastAsia="仿宋" w:cs="仿宋"/>
          <w:b/>
          <w:bCs/>
          <w:sz w:val="28"/>
          <w:szCs w:val="28"/>
        </w:rPr>
        <w:t>（二）发展原则</w:t>
      </w:r>
      <w:bookmarkEnd w:id="13"/>
      <w:bookmarkEnd w:id="14"/>
    </w:p>
    <w:p w14:paraId="242177E3">
      <w:pPr>
        <w:spacing w:line="360" w:lineRule="auto"/>
        <w:ind w:firstLine="648"/>
        <w:rPr>
          <w:rFonts w:ascii="仿宋" w:hAnsi="仿宋" w:eastAsia="仿宋" w:cs="仿宋"/>
          <w:sz w:val="28"/>
          <w:szCs w:val="28"/>
        </w:rPr>
      </w:pPr>
      <w:r>
        <w:rPr>
          <w:rFonts w:hint="eastAsia" w:ascii="仿宋" w:hAnsi="仿宋" w:eastAsia="仿宋" w:cs="仿宋"/>
          <w:sz w:val="28"/>
          <w:szCs w:val="28"/>
        </w:rPr>
        <w:t>“十四五”规划的制订与实施既要根据突泉县的建设资金和实际情况，又要保证交通系统建设的层次性、网络性和适度超前性。结合我县发展实际，2020-2025年期间我县综合交通发展须遵循五大原则：</w:t>
      </w:r>
    </w:p>
    <w:p w14:paraId="47A164A1">
      <w:pPr>
        <w:spacing w:line="360" w:lineRule="auto"/>
        <w:ind w:firstLine="648"/>
        <w:rPr>
          <w:rFonts w:ascii="仿宋" w:hAnsi="仿宋" w:eastAsia="仿宋" w:cs="仿宋"/>
          <w:b/>
          <w:bCs/>
          <w:sz w:val="28"/>
          <w:szCs w:val="28"/>
        </w:rPr>
      </w:pPr>
      <w:r>
        <w:rPr>
          <w:rFonts w:hint="eastAsia" w:ascii="仿宋" w:hAnsi="仿宋" w:eastAsia="仿宋" w:cs="仿宋"/>
          <w:b/>
          <w:bCs/>
          <w:sz w:val="28"/>
          <w:szCs w:val="28"/>
        </w:rPr>
        <w:t>稳中求进，适度超前。</w:t>
      </w:r>
    </w:p>
    <w:p w14:paraId="21BFEBC8">
      <w:pPr>
        <w:spacing w:line="360" w:lineRule="auto"/>
        <w:ind w:firstLine="560" w:firstLineChars="200"/>
        <w:rPr>
          <w:rFonts w:ascii="仿宋" w:hAnsi="仿宋" w:eastAsia="仿宋" w:cs="仿宋"/>
          <w:b/>
          <w:bCs/>
          <w:sz w:val="28"/>
          <w:szCs w:val="28"/>
        </w:rPr>
      </w:pPr>
      <w:r>
        <w:rPr>
          <w:rFonts w:hint="eastAsia" w:ascii="仿宋" w:hAnsi="仿宋" w:eastAsia="仿宋" w:cs="仿宋"/>
          <w:bCs/>
          <w:sz w:val="28"/>
          <w:szCs w:val="28"/>
        </w:rPr>
        <w:t>紧紧抓住国家推进“一带一路”等重大战略机遇，本着投资建设稳中求进，统筹规划适度超前的原则，以铁路、高速公路通道建设为抓手，场站枢纽建设协调发展，全面跟进，搭建主骨架，加快综合交通运输体系发展，切实发挥好交通运输对经济社会发展的支撑引领作用。</w:t>
      </w:r>
    </w:p>
    <w:p w14:paraId="14E7C6BD">
      <w:pPr>
        <w:spacing w:line="360" w:lineRule="auto"/>
        <w:ind w:firstLine="648"/>
        <w:rPr>
          <w:rFonts w:ascii="仿宋" w:hAnsi="仿宋" w:eastAsia="仿宋" w:cs="仿宋"/>
          <w:b/>
          <w:bCs/>
          <w:sz w:val="28"/>
          <w:szCs w:val="28"/>
        </w:rPr>
      </w:pPr>
      <w:r>
        <w:rPr>
          <w:rFonts w:hint="eastAsia" w:ascii="仿宋" w:hAnsi="仿宋" w:eastAsia="仿宋" w:cs="仿宋"/>
          <w:b/>
          <w:bCs/>
          <w:sz w:val="28"/>
          <w:szCs w:val="28"/>
        </w:rPr>
        <w:t>深化改革，科学治理。</w:t>
      </w:r>
    </w:p>
    <w:p w14:paraId="4C648C05">
      <w:pPr>
        <w:spacing w:line="360" w:lineRule="auto"/>
        <w:ind w:firstLine="560" w:firstLineChars="200"/>
        <w:rPr>
          <w:rFonts w:ascii="仿宋" w:hAnsi="仿宋" w:eastAsia="仿宋" w:cs="仿宋"/>
          <w:bCs/>
          <w:sz w:val="28"/>
          <w:szCs w:val="28"/>
        </w:rPr>
      </w:pPr>
      <w:r>
        <w:rPr>
          <w:rFonts w:hint="eastAsia" w:ascii="仿宋" w:hAnsi="仿宋" w:eastAsia="仿宋" w:cs="仿宋"/>
          <w:bCs/>
          <w:sz w:val="28"/>
          <w:szCs w:val="28"/>
        </w:rPr>
        <w:t>不断深化体制机制改革是综合交通一体化建设发展的制度保证。从供给侧改革入手，协调统筹铁路、公路、民航、水路等运输方式发展，逐步建立功能完备的综合交通体系，使各种运输方式有效衔接，发挥组合效率，形成衔接一体、安全高效的综合交通枢纽，实现交通发展方式的转变。</w:t>
      </w:r>
    </w:p>
    <w:p w14:paraId="3246BDE0">
      <w:pPr>
        <w:spacing w:line="360" w:lineRule="auto"/>
        <w:ind w:firstLine="648"/>
        <w:rPr>
          <w:rFonts w:ascii="仿宋" w:hAnsi="仿宋" w:eastAsia="仿宋" w:cs="仿宋"/>
          <w:b/>
          <w:bCs/>
          <w:sz w:val="28"/>
          <w:szCs w:val="28"/>
        </w:rPr>
      </w:pPr>
      <w:r>
        <w:rPr>
          <w:rFonts w:hint="eastAsia" w:ascii="仿宋" w:hAnsi="仿宋" w:eastAsia="仿宋" w:cs="仿宋"/>
          <w:b/>
          <w:bCs/>
          <w:sz w:val="28"/>
          <w:szCs w:val="28"/>
        </w:rPr>
        <w:t>服务为本，提质增效。</w:t>
      </w:r>
    </w:p>
    <w:p w14:paraId="06940EAD">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 xml:space="preserve">突泉县“十四五”综合交通发展在加快硬件建设步伐的同时，必须坚持以人为本的原则，同步提升服务水平，力争做到数量满足、质量适应，全面提升系统整体效能。 </w:t>
      </w:r>
    </w:p>
    <w:p w14:paraId="21FCD85E">
      <w:pPr>
        <w:spacing w:line="360" w:lineRule="auto"/>
        <w:ind w:firstLine="648"/>
        <w:rPr>
          <w:rFonts w:ascii="仿宋" w:hAnsi="仿宋" w:eastAsia="仿宋" w:cs="仿宋"/>
          <w:b/>
          <w:bCs/>
          <w:sz w:val="28"/>
          <w:szCs w:val="28"/>
        </w:rPr>
      </w:pPr>
      <w:r>
        <w:rPr>
          <w:rFonts w:hint="eastAsia" w:ascii="仿宋" w:hAnsi="仿宋" w:eastAsia="仿宋" w:cs="仿宋"/>
          <w:b/>
          <w:bCs/>
          <w:sz w:val="28"/>
          <w:szCs w:val="28"/>
        </w:rPr>
        <w:t>绿色环保，安全发展。</w:t>
      </w:r>
    </w:p>
    <w:p w14:paraId="1D34E8F5">
      <w:pPr>
        <w:spacing w:line="360" w:lineRule="auto"/>
        <w:ind w:firstLine="646"/>
        <w:rPr>
          <w:rFonts w:ascii="仿宋" w:hAnsi="仿宋" w:eastAsia="仿宋" w:cs="仿宋"/>
          <w:bCs/>
          <w:sz w:val="28"/>
          <w:szCs w:val="28"/>
        </w:rPr>
      </w:pPr>
      <w:r>
        <w:rPr>
          <w:rFonts w:hint="eastAsia" w:ascii="仿宋" w:hAnsi="仿宋" w:eastAsia="仿宋" w:cs="仿宋"/>
          <w:sz w:val="28"/>
          <w:szCs w:val="28"/>
        </w:rPr>
        <w:t>统筹社会效益、技术成熟程度和资源环境承载力等因素，创新体制机制，推进智能交通建设，提升应对自然灾害、突发事件的保障能力；把集约节约资源和保护环境落实到规划设计、施工建设、营运管理等交通运输各个环节，实</w:t>
      </w:r>
      <w:r>
        <w:rPr>
          <w:rFonts w:hint="eastAsia" w:ascii="仿宋" w:hAnsi="仿宋" w:eastAsia="仿宋" w:cs="仿宋"/>
          <w:bCs/>
          <w:sz w:val="28"/>
          <w:szCs w:val="28"/>
        </w:rPr>
        <w:t>现交通运输绿色、低碳、可持续发展。</w:t>
      </w:r>
    </w:p>
    <w:p w14:paraId="2867C604">
      <w:pPr>
        <w:spacing w:line="360" w:lineRule="auto"/>
        <w:ind w:firstLine="648"/>
        <w:rPr>
          <w:rFonts w:ascii="仿宋" w:hAnsi="仿宋" w:eastAsia="仿宋" w:cs="仿宋"/>
          <w:b/>
          <w:bCs/>
          <w:sz w:val="28"/>
          <w:szCs w:val="28"/>
        </w:rPr>
      </w:pPr>
      <w:r>
        <w:rPr>
          <w:rFonts w:hint="eastAsia" w:ascii="仿宋" w:hAnsi="仿宋" w:eastAsia="仿宋" w:cs="仿宋"/>
          <w:b/>
          <w:bCs/>
          <w:sz w:val="28"/>
          <w:szCs w:val="28"/>
        </w:rPr>
        <w:t>统筹兼顾，协调融合。</w:t>
      </w:r>
    </w:p>
    <w:p w14:paraId="32358995">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按照“方式间互联互通、点线能力协调、空间布局结构合理、功能互补、服务平台兼容、数据信息共享、应急响应协同”的要求，优化并充分利用存量资源,合理扩大优质增量供给，实现供需动态平衡。统</w:t>
      </w:r>
      <w:r>
        <w:rPr>
          <w:rFonts w:hint="eastAsia" w:ascii="仿宋" w:hAnsi="仿宋" w:eastAsia="仿宋" w:cs="仿宋"/>
          <w:bCs/>
          <w:sz w:val="28"/>
          <w:szCs w:val="28"/>
        </w:rPr>
        <w:t>筹各种运输方式发展，强化综合交通运输枢纽的衔接，充分发挥各种交通方式的比较优势和组合效率，提升网络效应和规模效益。统筹交通基础设施建设、养护、运输与运营管理，推进综合交通运输全面协调发展。促进交通运输与经济、产业、城镇化融合发展。贯彻国防要求，促进军民融合发展。</w:t>
      </w:r>
    </w:p>
    <w:p w14:paraId="65E76546">
      <w:pPr>
        <w:keepNext/>
        <w:keepLines/>
        <w:spacing w:line="360" w:lineRule="auto"/>
        <w:outlineLvl w:val="2"/>
        <w:rPr>
          <w:rFonts w:ascii="仿宋" w:hAnsi="仿宋" w:eastAsia="仿宋" w:cs="仿宋"/>
          <w:b/>
          <w:bCs/>
          <w:sz w:val="28"/>
          <w:szCs w:val="28"/>
        </w:rPr>
      </w:pPr>
      <w:r>
        <w:rPr>
          <w:rFonts w:hint="eastAsia" w:ascii="仿宋" w:hAnsi="仿宋" w:eastAsia="仿宋" w:cs="仿宋"/>
          <w:b/>
          <w:bCs/>
          <w:sz w:val="28"/>
          <w:szCs w:val="28"/>
        </w:rPr>
        <w:t>（三）发展思路与战略选择</w:t>
      </w:r>
    </w:p>
    <w:p w14:paraId="494CEAC5">
      <w:pPr>
        <w:pStyle w:val="15"/>
        <w:spacing w:line="360" w:lineRule="auto"/>
        <w:ind w:firstLine="560"/>
        <w:rPr>
          <w:rFonts w:ascii="仿宋" w:hAnsi="仿宋" w:eastAsia="仿宋" w:cs="仿宋"/>
          <w:sz w:val="28"/>
          <w:szCs w:val="28"/>
        </w:rPr>
      </w:pPr>
      <w:r>
        <w:rPr>
          <w:rFonts w:hint="eastAsia" w:ascii="仿宋" w:hAnsi="仿宋" w:eastAsia="仿宋" w:cs="仿宋"/>
          <w:sz w:val="28"/>
          <w:szCs w:val="28"/>
        </w:rPr>
        <w:t>发展战略就是关于一个国家、地区、行业、企业如何发展的理论指导体系。区域交通发展战略就是一定时期内对地区交通发展方向、发展速度与质量、发展点及发展能力的重大选择、规划及策略。交通发展战略可以帮助政府规划部门指引长远发展方向，明确发展目标，指明发展重点，并确定交通运输业需要的发展能力，战略的真正目的就是要解决交通运输发展的重大问题，实现区域交通快速、健康、持续发展。</w:t>
      </w:r>
    </w:p>
    <w:p w14:paraId="16C48E9F">
      <w:pPr>
        <w:spacing w:line="360" w:lineRule="auto"/>
        <w:rPr>
          <w:rFonts w:ascii="仿宋" w:hAnsi="仿宋" w:eastAsia="仿宋" w:cs="仿宋"/>
          <w:b/>
          <w:bCs/>
          <w:sz w:val="28"/>
          <w:szCs w:val="28"/>
        </w:rPr>
      </w:pPr>
      <w:r>
        <w:rPr>
          <w:rFonts w:hint="eastAsia" w:ascii="仿宋" w:hAnsi="仿宋" w:eastAsia="仿宋" w:cs="仿宋"/>
          <w:b/>
          <w:bCs/>
          <w:sz w:val="28"/>
          <w:szCs w:val="28"/>
        </w:rPr>
        <w:t>1</w:t>
      </w:r>
      <w:r>
        <w:rPr>
          <w:rFonts w:ascii="仿宋" w:hAnsi="仿宋" w:eastAsia="仿宋" w:cs="仿宋"/>
          <w:b/>
          <w:bCs/>
          <w:sz w:val="28"/>
          <w:szCs w:val="28"/>
        </w:rPr>
        <w:t>.</w:t>
      </w:r>
      <w:r>
        <w:rPr>
          <w:rFonts w:hint="eastAsia" w:ascii="仿宋" w:hAnsi="仿宋" w:eastAsia="仿宋" w:cs="仿宋"/>
          <w:b/>
          <w:bCs/>
          <w:sz w:val="28"/>
          <w:szCs w:val="28"/>
        </w:rPr>
        <w:t xml:space="preserve"> S</w:t>
      </w:r>
      <w:r>
        <w:rPr>
          <w:rFonts w:ascii="仿宋" w:hAnsi="仿宋" w:eastAsia="仿宋" w:cs="仿宋"/>
          <w:b/>
          <w:bCs/>
          <w:sz w:val="28"/>
          <w:szCs w:val="28"/>
        </w:rPr>
        <w:t>WOT</w:t>
      </w:r>
      <w:r>
        <w:rPr>
          <w:rFonts w:hint="eastAsia" w:ascii="仿宋" w:hAnsi="仿宋" w:eastAsia="仿宋" w:cs="仿宋"/>
          <w:b/>
          <w:bCs/>
          <w:sz w:val="28"/>
          <w:szCs w:val="28"/>
        </w:rPr>
        <w:t>分析</w:t>
      </w:r>
    </w:p>
    <w:p w14:paraId="4546C14B">
      <w:pPr>
        <w:pStyle w:val="15"/>
        <w:spacing w:line="360" w:lineRule="auto"/>
        <w:ind w:firstLine="560"/>
        <w:rPr>
          <w:rFonts w:ascii="仿宋" w:hAnsi="仿宋" w:eastAsia="仿宋" w:cs="仿宋"/>
          <w:sz w:val="28"/>
          <w:szCs w:val="28"/>
        </w:rPr>
      </w:pPr>
      <w:r>
        <w:rPr>
          <w:rFonts w:hint="eastAsia" w:ascii="仿宋" w:hAnsi="仿宋" w:eastAsia="仿宋" w:cs="仿宋"/>
          <w:sz w:val="28"/>
          <w:szCs w:val="28"/>
        </w:rPr>
        <w:t>SWOT分析法是一种常用的战略分析法，其实质是通过分析自身内部所具有的优势(Strength)和劣势(Weakness)，判断所面临的外部机遇(Opportunity)和威胁(Threats)，来提出相应的战略方案。对突泉县综合交通运输发展的分析如下：</w:t>
      </w:r>
    </w:p>
    <w:p w14:paraId="3AA83FD3">
      <w:pPr>
        <w:pStyle w:val="15"/>
        <w:numPr>
          <w:ilvl w:val="0"/>
          <w:numId w:val="4"/>
        </w:numPr>
        <w:spacing w:line="360" w:lineRule="auto"/>
        <w:ind w:left="0" w:firstLine="0" w:firstLineChars="0"/>
        <w:rPr>
          <w:rFonts w:ascii="仿宋" w:hAnsi="仿宋" w:eastAsia="仿宋" w:cs="仿宋"/>
          <w:b/>
          <w:bCs/>
          <w:sz w:val="28"/>
          <w:szCs w:val="28"/>
        </w:rPr>
      </w:pPr>
      <w:r>
        <w:rPr>
          <w:rFonts w:hint="eastAsia" w:ascii="仿宋" w:hAnsi="仿宋" w:eastAsia="仿宋" w:cs="仿宋"/>
          <w:b/>
          <w:bCs/>
          <w:sz w:val="28"/>
          <w:szCs w:val="28"/>
        </w:rPr>
        <w:t>优势分析</w:t>
      </w:r>
    </w:p>
    <w:p w14:paraId="61B5DCC9">
      <w:pPr>
        <w:pStyle w:val="15"/>
        <w:spacing w:line="360" w:lineRule="auto"/>
        <w:ind w:firstLine="0" w:firstLineChars="0"/>
        <w:rPr>
          <w:rFonts w:ascii="仿宋" w:hAnsi="仿宋" w:eastAsia="仿宋" w:cs="仿宋"/>
          <w:sz w:val="28"/>
          <w:szCs w:val="28"/>
        </w:rPr>
      </w:pPr>
      <w:r>
        <w:rPr>
          <w:rFonts w:hint="eastAsia" w:ascii="仿宋" w:hAnsi="仿宋" w:eastAsia="仿宋" w:cs="仿宋"/>
          <w:b/>
          <w:bCs/>
          <w:sz w:val="28"/>
          <w:szCs w:val="28"/>
        </w:rPr>
        <w:t>（1）交通商贸区位综合优势。</w:t>
      </w:r>
      <w:r>
        <w:rPr>
          <w:rFonts w:hint="eastAsia" w:ascii="仿宋" w:hAnsi="仿宋" w:eastAsia="仿宋" w:cs="仿宋"/>
          <w:sz w:val="28"/>
          <w:szCs w:val="28"/>
        </w:rPr>
        <w:t>兴安盟位于内蒙古自治区东北部，交通周边400公里范围内有一盟两市三省一国，靠近东北市场，位于黑吉辽三省区的扇形中心，是东北地区乃至东北亚地区连接俄蒙的重要经济通道。突泉县位于兴安盟西南部，紧靠东北三省，临近京津冀，以北京-呼伦贝尔加格达奇111国道、广西北海-呼伦贝尔阿荣旗省际大通道、突泉-洮南省际二级通道为主的公路交通四通八达，直接连入呼海、京齐、佳沈、长白、通霍公路网，承接兴安盟乃至内蒙古自治区对内对外的客货交通量，是兴安盟重要的交通枢纽。门户型交通枢纽地是围绕国际国内商贸活动而形成的，因商贸活动而产生交通运输需求，也因交通运输条件的改善而不断促进着商贸经济发展，未来突泉县的区位优势将得到进一步提升。</w:t>
      </w:r>
    </w:p>
    <w:p w14:paraId="370B1141">
      <w:pPr>
        <w:pStyle w:val="15"/>
        <w:spacing w:line="360" w:lineRule="auto"/>
        <w:ind w:firstLine="0" w:firstLineChars="0"/>
        <w:rPr>
          <w:rFonts w:ascii="仿宋" w:hAnsi="仿宋" w:eastAsia="仿宋" w:cs="仿宋"/>
          <w:sz w:val="28"/>
          <w:szCs w:val="28"/>
        </w:rPr>
      </w:pPr>
      <w:r>
        <w:rPr>
          <w:rFonts w:hint="eastAsia" w:ascii="仿宋" w:hAnsi="仿宋" w:eastAsia="仿宋" w:cs="仿宋"/>
          <w:b/>
          <w:bCs/>
          <w:sz w:val="28"/>
          <w:szCs w:val="28"/>
        </w:rPr>
        <w:t>（2）区域产业优势。</w:t>
      </w:r>
      <w:r>
        <w:rPr>
          <w:rFonts w:hint="eastAsia" w:ascii="仿宋" w:hAnsi="仿宋" w:eastAsia="仿宋" w:cs="仿宋"/>
          <w:sz w:val="28"/>
          <w:szCs w:val="28"/>
        </w:rPr>
        <w:t>首先，突泉县现代农业蓬勃发展，拥有耕地266万亩，年均粮食产量20亿斤以上，是全国产粮大县；培育了肉鸡、蔬菜、肉羊、生猪和肉牛等农业主导产业，被中国特产协会授予“中国白羽肉鸡之乡”，被国家工信部评为“中国瓜菜之乡”。其次，突泉县初步搭建起新型工业架构，培育了“绿色农畜产品生产加工、有色金属原料生产、新型环保建材、非资源型装备制造和清洁能源利用”五大工业产业集群，规模以上工业企业36家，自治区级循环经济工业园区规划40平方公里，入驻企业58家。</w:t>
      </w:r>
    </w:p>
    <w:p w14:paraId="15E1845D">
      <w:pPr>
        <w:pStyle w:val="15"/>
        <w:spacing w:line="360" w:lineRule="auto"/>
        <w:ind w:firstLine="0" w:firstLineChars="0"/>
        <w:rPr>
          <w:rFonts w:ascii="仿宋" w:hAnsi="仿宋" w:eastAsia="仿宋" w:cs="仿宋"/>
          <w:sz w:val="28"/>
          <w:szCs w:val="28"/>
        </w:rPr>
      </w:pPr>
      <w:r>
        <w:rPr>
          <w:rFonts w:hint="eastAsia" w:ascii="仿宋" w:hAnsi="仿宋" w:eastAsia="仿宋" w:cs="仿宋"/>
          <w:b/>
          <w:bCs/>
          <w:sz w:val="28"/>
          <w:szCs w:val="28"/>
        </w:rPr>
        <w:t>（3）旅游资源优势。</w:t>
      </w:r>
      <w:r>
        <w:rPr>
          <w:rFonts w:hint="eastAsia" w:ascii="仿宋" w:hAnsi="仿宋" w:eastAsia="仿宋" w:cs="仿宋"/>
          <w:sz w:val="28"/>
          <w:szCs w:val="28"/>
        </w:rPr>
        <w:t>突泉县旅游资源丰富，杜西沟景区、春州温泉滑雪场、老头山生态景区、明星湖和农耕民俗博物馆等特色旅游景区，年均接待游客20万人次以上；大力培植农耕旅游文化品牌，赛银花园区被国家评为3A级景区。此外，突泉县作为自治区重点扶持的革命老区，红色旅游资源丰富。</w:t>
      </w:r>
    </w:p>
    <w:p w14:paraId="0A92F858">
      <w:pPr>
        <w:pStyle w:val="15"/>
        <w:numPr>
          <w:ilvl w:val="0"/>
          <w:numId w:val="4"/>
        </w:numPr>
        <w:spacing w:line="360" w:lineRule="auto"/>
        <w:ind w:left="0" w:firstLine="0" w:firstLineChars="0"/>
        <w:rPr>
          <w:rFonts w:ascii="仿宋" w:hAnsi="仿宋" w:eastAsia="仿宋" w:cs="仿宋"/>
          <w:b/>
          <w:bCs/>
          <w:sz w:val="28"/>
          <w:szCs w:val="28"/>
        </w:rPr>
      </w:pPr>
      <w:r>
        <w:rPr>
          <w:rFonts w:hint="eastAsia" w:ascii="仿宋" w:hAnsi="仿宋" w:eastAsia="仿宋" w:cs="仿宋"/>
          <w:b/>
          <w:bCs/>
          <w:sz w:val="28"/>
          <w:szCs w:val="28"/>
        </w:rPr>
        <w:t>劣势分析</w:t>
      </w:r>
    </w:p>
    <w:p w14:paraId="6136E3A6">
      <w:pPr>
        <w:pStyle w:val="15"/>
        <w:spacing w:line="360" w:lineRule="auto"/>
        <w:ind w:firstLine="0" w:firstLineChars="0"/>
        <w:rPr>
          <w:rFonts w:ascii="仿宋" w:hAnsi="仿宋" w:eastAsia="仿宋" w:cs="仿宋"/>
          <w:sz w:val="28"/>
          <w:szCs w:val="28"/>
        </w:rPr>
      </w:pPr>
      <w:r>
        <w:rPr>
          <w:rFonts w:hint="eastAsia" w:ascii="仿宋" w:hAnsi="仿宋" w:eastAsia="仿宋" w:cs="仿宋"/>
          <w:b/>
          <w:bCs/>
          <w:sz w:val="28"/>
          <w:szCs w:val="28"/>
        </w:rPr>
        <w:t>（1）综合交通运输体系建设发展滞后，方式结构单一，且运力不充分、布局不平衡、运行不协调。</w:t>
      </w:r>
      <w:r>
        <w:rPr>
          <w:rFonts w:hint="eastAsia" w:ascii="仿宋" w:hAnsi="仿宋" w:eastAsia="仿宋" w:cs="仿宋"/>
          <w:sz w:val="28"/>
          <w:szCs w:val="28"/>
        </w:rPr>
        <w:t>长期以来公路交通作为突泉县的唯一运输方式，突泉县对公路的建设重视程度已经提高，但是目前发展依旧不充分，总量明显不足。在“十三五”期间，突泉对于公路的升级改造做出了突出的贡献，但是发展不够平衡，结构不够合理。高速公路和高等级公路占比明显偏低，制约着突泉县交通运输系统保障能力和运行服务效率的进一步提升。</w:t>
      </w:r>
    </w:p>
    <w:p w14:paraId="570D0D00">
      <w:pPr>
        <w:pStyle w:val="15"/>
        <w:spacing w:line="360" w:lineRule="auto"/>
        <w:ind w:firstLine="0" w:firstLineChars="0"/>
        <w:rPr>
          <w:rFonts w:ascii="仿宋" w:hAnsi="仿宋" w:eastAsia="仿宋" w:cs="仿宋"/>
          <w:sz w:val="28"/>
          <w:szCs w:val="28"/>
        </w:rPr>
      </w:pPr>
      <w:r>
        <w:rPr>
          <w:rFonts w:hint="eastAsia" w:ascii="仿宋" w:hAnsi="仿宋" w:eastAsia="仿宋" w:cs="仿宋"/>
          <w:b/>
          <w:bCs/>
          <w:sz w:val="28"/>
          <w:szCs w:val="28"/>
        </w:rPr>
        <w:t>（2）对外通道连通度及通畅度不足、公路系统规模不足。</w:t>
      </w:r>
      <w:r>
        <w:rPr>
          <w:rFonts w:hint="eastAsia" w:ascii="仿宋" w:hAnsi="仿宋" w:eastAsia="仿宋" w:cs="仿宋"/>
          <w:sz w:val="28"/>
          <w:szCs w:val="28"/>
        </w:rPr>
        <w:t>相对于突泉县的省际节点区位优势，目前对外区域连通能力还较为薄弱，连通度低，运能不足，交通基础设施技术水平较低，支撑突泉未来经济社会跨越式发展，特别是适应蒙东城市群协同发展以及区域经济一体化发展有明显短板。突泉的交通基础设施建设总体水平相对滞后，与全盟平均水平差距明显。且现状旅游公路的技术等级较低，规模不足，不能有效支撑突泉旅游业的迅速发展和人们对旅游服务的高质量追求，并且乡村级公路管理养护受资金困扰，技术力量和机械设备严重不足，养护能力需进一步大幅提高。</w:t>
      </w:r>
    </w:p>
    <w:p w14:paraId="5CF52576">
      <w:pPr>
        <w:pStyle w:val="15"/>
        <w:spacing w:line="360" w:lineRule="auto"/>
        <w:ind w:firstLine="0" w:firstLineChars="0"/>
        <w:rPr>
          <w:rFonts w:ascii="仿宋" w:hAnsi="仿宋" w:eastAsia="仿宋" w:cs="仿宋"/>
          <w:sz w:val="28"/>
          <w:szCs w:val="28"/>
        </w:rPr>
      </w:pPr>
      <w:r>
        <w:rPr>
          <w:rFonts w:hint="eastAsia" w:ascii="仿宋" w:hAnsi="仿宋" w:eastAsia="仿宋" w:cs="仿宋"/>
          <w:b/>
          <w:bCs/>
          <w:sz w:val="28"/>
          <w:szCs w:val="28"/>
        </w:rPr>
        <w:t>（3）铁路建设进程缓慢，对地区经济制约严重。</w:t>
      </w:r>
      <w:r>
        <w:rPr>
          <w:rFonts w:hint="eastAsia" w:ascii="仿宋" w:hAnsi="仿宋" w:eastAsia="仿宋" w:cs="仿宋"/>
          <w:sz w:val="28"/>
          <w:szCs w:val="28"/>
        </w:rPr>
        <w:t xml:space="preserve">兴安盟作为蒙东资源型边远地区，不通铁路现状难以根本改变。突泉虽有良好的交通区位优势，但铁路建设严重滞后。从现有铁路规划来看，长春至西巴彦花铁路作为全国第一条由民营企业参股投资建设的铁路，其中突泉县境内项目段57.198公里，途经该县16个村。但是突泉段铁路建设迟迟不能开工，铁路基础设施远远不能适应经济社会发展的需要，从而导致突泉县对外连通度和运输能力均不足。 </w:t>
      </w:r>
    </w:p>
    <w:p w14:paraId="53C2340A">
      <w:pPr>
        <w:pStyle w:val="15"/>
        <w:spacing w:line="360" w:lineRule="auto"/>
        <w:ind w:firstLine="0" w:firstLineChars="0"/>
        <w:rPr>
          <w:rFonts w:ascii="仿宋" w:hAnsi="仿宋" w:eastAsia="仿宋" w:cs="仿宋"/>
          <w:sz w:val="28"/>
          <w:szCs w:val="28"/>
        </w:rPr>
      </w:pPr>
      <w:r>
        <w:rPr>
          <w:rFonts w:hint="eastAsia" w:ascii="仿宋" w:hAnsi="仿宋" w:eastAsia="仿宋" w:cs="仿宋"/>
          <w:b/>
          <w:bCs/>
          <w:sz w:val="28"/>
          <w:szCs w:val="28"/>
        </w:rPr>
        <w:t>（4）农村公路通达有余、通畅不足，与蒙东其他县市相比仍有很大差距。</w:t>
      </w:r>
      <w:r>
        <w:rPr>
          <w:rFonts w:hint="eastAsia" w:ascii="仿宋" w:hAnsi="仿宋" w:eastAsia="仿宋" w:cs="仿宋"/>
          <w:sz w:val="28"/>
          <w:szCs w:val="28"/>
        </w:rPr>
        <w:t>受资金及自然条件的限制，部分撤并建制村尚未通达硬化路，且部分道路安全标志、标线等安全设施缺失，存在安全隐患，自然村尚未达到通达通畅的目标，重要旅游公路不能有效支撑突泉旅游水平的建设目标，制约了旅游业的进一步发展，且农村公路等级普遍较低，路基较窄，县乡道路与县际相邻乡镇不通畅，补短板、强基础的压力巨大。</w:t>
      </w:r>
    </w:p>
    <w:p w14:paraId="6A4ECB4B">
      <w:pPr>
        <w:pStyle w:val="15"/>
        <w:spacing w:line="360" w:lineRule="auto"/>
        <w:ind w:firstLine="0" w:firstLineChars="0"/>
        <w:rPr>
          <w:rFonts w:ascii="仿宋" w:hAnsi="仿宋" w:eastAsia="仿宋" w:cs="仿宋"/>
          <w:sz w:val="28"/>
          <w:szCs w:val="28"/>
        </w:rPr>
      </w:pPr>
      <w:r>
        <w:rPr>
          <w:rFonts w:hint="eastAsia" w:ascii="仿宋" w:hAnsi="仿宋" w:eastAsia="仿宋" w:cs="仿宋"/>
          <w:b/>
          <w:bCs/>
          <w:sz w:val="28"/>
          <w:szCs w:val="28"/>
        </w:rPr>
        <w:t>（5）航空建设步伐滞后，远距离运输不便。</w:t>
      </w:r>
      <w:r>
        <w:rPr>
          <w:rFonts w:hint="eastAsia" w:ascii="仿宋" w:hAnsi="仿宋" w:eastAsia="仿宋" w:cs="仿宋"/>
          <w:sz w:val="28"/>
          <w:szCs w:val="28"/>
        </w:rPr>
        <w:t>受资金、技术等因素影响，目前突泉县通用机场尚未建成，突泉县的客货运仍只能依赖于公路这一种运输方式，满足不了本地区特色旅游、商贸经济发展的时效性要求。随着突泉县运输发展需求日益提高，突泉现有建设水平与其矛盾日益突出，改善旅游交通可达性，促进当地旅游业新发展，机场建设迫在眉睫。</w:t>
      </w:r>
    </w:p>
    <w:p w14:paraId="095B64E7">
      <w:pPr>
        <w:pStyle w:val="15"/>
        <w:spacing w:line="360" w:lineRule="auto"/>
        <w:ind w:firstLine="0" w:firstLineChars="0"/>
        <w:rPr>
          <w:rFonts w:ascii="仿宋" w:hAnsi="仿宋" w:eastAsia="仿宋" w:cs="仿宋"/>
          <w:sz w:val="28"/>
          <w:szCs w:val="28"/>
        </w:rPr>
      </w:pPr>
      <w:r>
        <w:rPr>
          <w:rFonts w:hint="eastAsia" w:ascii="仿宋" w:hAnsi="仿宋" w:eastAsia="仿宋" w:cs="仿宋"/>
          <w:b/>
          <w:bCs/>
          <w:sz w:val="28"/>
          <w:szCs w:val="28"/>
        </w:rPr>
        <w:t>（6）融资渠道单一，交通发展的资金短缺问题凸显，建设资金供需矛盾突出。受制于本地经济基础薄弱及财政实力不足。</w:t>
      </w:r>
      <w:r>
        <w:rPr>
          <w:rFonts w:hint="eastAsia" w:ascii="仿宋" w:hAnsi="仿宋" w:eastAsia="仿宋" w:cs="仿宋"/>
          <w:sz w:val="28"/>
          <w:szCs w:val="28"/>
        </w:rPr>
        <w:t>当前制约突泉县交通基础设施建设的资金、土地、环境等因素仍然存在，特别是建设资金需求与供给矛盾突出。由于财政转移支付的基本支出基数近年来一直没有调整，受各种因素交织影响，预算支出增加，其中产生的差额和不足对突泉县道路运输的正常管理带来不利影响。“十四五”规划期建设项目融资问题首当其冲。</w:t>
      </w:r>
    </w:p>
    <w:p w14:paraId="7C20932E">
      <w:pPr>
        <w:pStyle w:val="15"/>
        <w:spacing w:line="360" w:lineRule="auto"/>
        <w:ind w:firstLine="0" w:firstLineChars="0"/>
        <w:rPr>
          <w:rFonts w:ascii="仿宋" w:hAnsi="仿宋" w:eastAsia="仿宋" w:cs="仿宋"/>
          <w:sz w:val="28"/>
          <w:szCs w:val="28"/>
        </w:rPr>
      </w:pPr>
      <w:r>
        <w:rPr>
          <w:rFonts w:hint="eastAsia" w:ascii="仿宋" w:hAnsi="仿宋" w:eastAsia="仿宋" w:cs="仿宋"/>
          <w:b/>
          <w:bCs/>
          <w:sz w:val="28"/>
          <w:szCs w:val="28"/>
        </w:rPr>
        <w:t>（7）交通运输信息化、智能化起步晚、起点低，智慧交通短板突出，交通应急处置与服务能力有待提升。</w:t>
      </w:r>
      <w:r>
        <w:rPr>
          <w:rFonts w:hint="eastAsia" w:ascii="仿宋" w:hAnsi="仿宋" w:eastAsia="仿宋" w:cs="仿宋"/>
          <w:sz w:val="28"/>
          <w:szCs w:val="28"/>
        </w:rPr>
        <w:t>包括突泉县在内的蒙东地区由于资金、技术、人才的长期匮乏，导致交通信息化、智能化基础十分薄弱，仅仅依赖行业管理部门提供的信息服务不能满足日益增长及日趋个性化的需求。</w:t>
      </w:r>
    </w:p>
    <w:p w14:paraId="5E2DB0CE">
      <w:pPr>
        <w:pStyle w:val="15"/>
        <w:numPr>
          <w:ilvl w:val="0"/>
          <w:numId w:val="4"/>
        </w:numPr>
        <w:spacing w:line="360" w:lineRule="auto"/>
        <w:ind w:left="0" w:firstLine="0" w:firstLineChars="0"/>
        <w:rPr>
          <w:rFonts w:ascii="仿宋" w:hAnsi="仿宋" w:eastAsia="仿宋" w:cs="仿宋"/>
          <w:b/>
          <w:bCs/>
          <w:sz w:val="28"/>
          <w:szCs w:val="28"/>
        </w:rPr>
      </w:pPr>
      <w:r>
        <w:rPr>
          <w:rFonts w:hint="eastAsia" w:ascii="仿宋" w:hAnsi="仿宋" w:eastAsia="仿宋" w:cs="仿宋"/>
          <w:b/>
          <w:bCs/>
          <w:sz w:val="28"/>
          <w:szCs w:val="28"/>
        </w:rPr>
        <w:t>机遇分析</w:t>
      </w:r>
    </w:p>
    <w:p w14:paraId="608B7EA2">
      <w:pPr>
        <w:pStyle w:val="15"/>
        <w:spacing w:line="360" w:lineRule="auto"/>
        <w:ind w:firstLine="0" w:firstLineChars="0"/>
        <w:rPr>
          <w:rFonts w:ascii="仿宋" w:hAnsi="仿宋" w:eastAsia="仿宋" w:cs="仿宋"/>
          <w:sz w:val="28"/>
          <w:szCs w:val="28"/>
        </w:rPr>
      </w:pPr>
      <w:r>
        <w:rPr>
          <w:rFonts w:hint="eastAsia" w:ascii="仿宋" w:hAnsi="仿宋" w:eastAsia="仿宋" w:cs="仿宋"/>
          <w:b/>
          <w:bCs/>
          <w:sz w:val="28"/>
          <w:szCs w:val="28"/>
        </w:rPr>
        <w:t>（1）国家发展战略带来的重大机遇。</w:t>
      </w:r>
      <w:r>
        <w:rPr>
          <w:rFonts w:hint="eastAsia" w:ascii="仿宋" w:hAnsi="仿宋" w:eastAsia="仿宋" w:cs="仿宋"/>
          <w:sz w:val="28"/>
          <w:szCs w:val="28"/>
        </w:rPr>
        <w:t>国家层面实施“一带一路”、“西部大开发”、交通强国等国家发展战略，通过改革开放和建设实施一批重大工程，辐射带动区域发展。国家发展战略为突泉县交通基础设施的建设提供重要的外部机遇，突泉县可以借这一东风，争取更加有利的政策和资金支持。</w:t>
      </w:r>
    </w:p>
    <w:p w14:paraId="4683B21D">
      <w:pPr>
        <w:pStyle w:val="15"/>
        <w:spacing w:line="360" w:lineRule="auto"/>
        <w:ind w:firstLine="0" w:firstLineChars="0"/>
        <w:rPr>
          <w:rFonts w:ascii="仿宋" w:hAnsi="仿宋" w:eastAsia="仿宋" w:cs="仿宋"/>
          <w:sz w:val="28"/>
          <w:szCs w:val="28"/>
        </w:rPr>
      </w:pPr>
      <w:r>
        <w:rPr>
          <w:rFonts w:hint="eastAsia" w:ascii="仿宋" w:hAnsi="仿宋" w:eastAsia="仿宋" w:cs="仿宋"/>
          <w:b/>
          <w:bCs/>
          <w:sz w:val="28"/>
          <w:szCs w:val="28"/>
        </w:rPr>
        <w:t>（2）东北振兴战略及东部盟市跨越发展带来机遇。</w:t>
      </w:r>
      <w:r>
        <w:rPr>
          <w:rFonts w:hint="eastAsia" w:ascii="仿宋" w:hAnsi="仿宋" w:eastAsia="仿宋" w:cs="仿宋"/>
          <w:sz w:val="28"/>
          <w:szCs w:val="28"/>
        </w:rPr>
        <w:t>当前正处于东部盟市跨越发展的关键时期，要深入落实新一轮东北振兴战略。随着经济的高效增长必然带来突泉全县境内、跨地区交通运输量的增长，势必会对交通基础设施建设提出更高要求，区域发展战略为突泉的综合交通运输发展提供强大助力。</w:t>
      </w:r>
    </w:p>
    <w:p w14:paraId="6C06858B">
      <w:pPr>
        <w:pStyle w:val="15"/>
        <w:spacing w:line="360" w:lineRule="auto"/>
        <w:ind w:firstLine="0" w:firstLineChars="0"/>
        <w:rPr>
          <w:rFonts w:ascii="仿宋" w:hAnsi="仿宋" w:eastAsia="仿宋" w:cs="仿宋"/>
          <w:sz w:val="28"/>
          <w:szCs w:val="28"/>
        </w:rPr>
      </w:pPr>
      <w:r>
        <w:rPr>
          <w:rFonts w:hint="eastAsia" w:ascii="仿宋" w:hAnsi="仿宋" w:eastAsia="仿宋" w:cs="仿宋"/>
          <w:b/>
          <w:bCs/>
          <w:sz w:val="28"/>
          <w:szCs w:val="28"/>
        </w:rPr>
        <w:t>（3）兴安盟城乡一体化发展带来机遇。</w:t>
      </w:r>
      <w:r>
        <w:rPr>
          <w:rFonts w:hint="eastAsia" w:ascii="仿宋" w:hAnsi="仿宋" w:eastAsia="仿宋" w:cs="仿宋"/>
          <w:sz w:val="28"/>
          <w:szCs w:val="28"/>
        </w:rPr>
        <w:t>城镇化是现代化的必由之路，也是乡村振兴和区域协调发展的有力支撑。《兴安盟盟域城镇体系规划（2016-2035 年）》指出，要依托主要交通走廊，积极培育增长极和增长带，打造“两核四心，两带三区，多点均衡”的城镇空间结构，引领盟域城乡空间发展。作为四个次级中心之一的突泉县，势必会迎来良好的发展机遇，为综合交通运输的发展提供契机。</w:t>
      </w:r>
    </w:p>
    <w:p w14:paraId="1DD14ACE">
      <w:pPr>
        <w:pStyle w:val="15"/>
        <w:numPr>
          <w:ilvl w:val="0"/>
          <w:numId w:val="4"/>
        </w:numPr>
        <w:spacing w:line="360" w:lineRule="auto"/>
        <w:ind w:left="0" w:firstLine="0" w:firstLineChars="0"/>
        <w:rPr>
          <w:rFonts w:ascii="仿宋" w:hAnsi="仿宋" w:eastAsia="仿宋" w:cs="仿宋"/>
          <w:b/>
          <w:bCs/>
          <w:sz w:val="28"/>
          <w:szCs w:val="28"/>
        </w:rPr>
      </w:pPr>
      <w:r>
        <w:rPr>
          <w:rFonts w:hint="eastAsia" w:ascii="仿宋" w:hAnsi="仿宋" w:eastAsia="仿宋" w:cs="仿宋"/>
          <w:b/>
          <w:bCs/>
          <w:sz w:val="28"/>
          <w:szCs w:val="28"/>
        </w:rPr>
        <w:t>挑战分析</w:t>
      </w:r>
    </w:p>
    <w:p w14:paraId="54BE4E89">
      <w:pPr>
        <w:pStyle w:val="15"/>
        <w:spacing w:line="360" w:lineRule="auto"/>
        <w:ind w:firstLine="0" w:firstLineChars="0"/>
        <w:rPr>
          <w:rFonts w:ascii="仿宋" w:hAnsi="仿宋" w:eastAsia="仿宋" w:cs="仿宋"/>
          <w:sz w:val="28"/>
          <w:szCs w:val="28"/>
        </w:rPr>
      </w:pPr>
      <w:r>
        <w:rPr>
          <w:rFonts w:hint="eastAsia" w:ascii="仿宋" w:hAnsi="仿宋" w:eastAsia="仿宋" w:cs="仿宋"/>
          <w:b/>
          <w:bCs/>
          <w:sz w:val="28"/>
          <w:szCs w:val="28"/>
        </w:rPr>
        <w:t>（</w:t>
      </w:r>
      <w:r>
        <w:rPr>
          <w:rFonts w:ascii="仿宋" w:hAnsi="仿宋" w:eastAsia="仿宋" w:cs="仿宋"/>
          <w:b/>
          <w:bCs/>
          <w:sz w:val="28"/>
          <w:szCs w:val="28"/>
        </w:rPr>
        <w:t>1</w:t>
      </w:r>
      <w:r>
        <w:rPr>
          <w:rFonts w:hint="eastAsia" w:ascii="仿宋" w:hAnsi="仿宋" w:eastAsia="仿宋" w:cs="仿宋"/>
          <w:b/>
          <w:bCs/>
          <w:sz w:val="28"/>
          <w:szCs w:val="28"/>
        </w:rPr>
        <w:t>）区域竞争激烈，加剧了突泉的发展压力。</w:t>
      </w:r>
      <w:r>
        <w:rPr>
          <w:rFonts w:hint="eastAsia" w:ascii="仿宋" w:hAnsi="仿宋" w:eastAsia="仿宋" w:cs="仿宋"/>
          <w:sz w:val="28"/>
          <w:szCs w:val="28"/>
        </w:rPr>
        <w:t>兴安盟中心城市如乌兰浩特、科右前旗科尔沁镇位于自治区中心地区，中心城市的发展势必会带来区域竞争。一定的区域竞争可以加速产业升级，但同时也会压缩竞争主体的市场空间，形成对资源、资金、项目的争夺。突泉与周边地区资源、区位条件相似，产业结构趋同，如何在激烈的区域竞争中加快产业集聚，加速规模增长、推进结构升级，不断增强突泉县的综合经济实力，是突泉未来面临的挑战。</w:t>
      </w:r>
    </w:p>
    <w:p w14:paraId="2E5CF771">
      <w:pPr>
        <w:pStyle w:val="15"/>
        <w:spacing w:line="360" w:lineRule="auto"/>
        <w:ind w:firstLine="0" w:firstLineChars="0"/>
        <w:rPr>
          <w:rFonts w:ascii="仿宋" w:hAnsi="仿宋" w:eastAsia="仿宋" w:cs="仿宋"/>
          <w:sz w:val="28"/>
          <w:szCs w:val="28"/>
        </w:rPr>
      </w:pPr>
      <w:r>
        <w:rPr>
          <w:rFonts w:hint="eastAsia" w:ascii="仿宋" w:hAnsi="仿宋" w:eastAsia="仿宋" w:cs="仿宋"/>
          <w:b/>
          <w:bCs/>
          <w:sz w:val="28"/>
          <w:szCs w:val="28"/>
        </w:rPr>
        <w:t>（</w:t>
      </w:r>
      <w:r>
        <w:rPr>
          <w:rFonts w:ascii="仿宋" w:hAnsi="仿宋" w:eastAsia="仿宋" w:cs="仿宋"/>
          <w:b/>
          <w:bCs/>
          <w:sz w:val="28"/>
          <w:szCs w:val="28"/>
        </w:rPr>
        <w:t>2</w:t>
      </w:r>
      <w:r>
        <w:rPr>
          <w:rFonts w:hint="eastAsia" w:ascii="仿宋" w:hAnsi="仿宋" w:eastAsia="仿宋" w:cs="仿宋"/>
          <w:b/>
          <w:bCs/>
          <w:sz w:val="28"/>
          <w:szCs w:val="28"/>
        </w:rPr>
        <w:t>）主导产业规模及层次有待提升，为综合交通运输发展带来一定挑战。</w:t>
      </w:r>
      <w:r>
        <w:rPr>
          <w:rFonts w:hint="eastAsia" w:ascii="仿宋" w:hAnsi="仿宋" w:eastAsia="仿宋" w:cs="仿宋"/>
          <w:sz w:val="28"/>
          <w:szCs w:val="28"/>
        </w:rPr>
        <w:t>突泉是传统农业县，工业化水平尚处起步阶段，第三产业发展基础条件差。如何提高农业发展水平，加强养殖加工业发展，促进精深加工，保证特色农产品外销通畅将成为突泉经济发展面临的一大挑战。工业方面缺乏大型企业集团带动，与周边地区的农畜产品加工、建材、化工等产业存在一定趋同性，突泉工业产品占据周边乃至更大市场的难度加大。第三产业发展基础较差，旅游业刚刚破题起步，</w:t>
      </w:r>
    </w:p>
    <w:p w14:paraId="6D5C9FD9">
      <w:pPr>
        <w:pStyle w:val="15"/>
        <w:spacing w:line="360" w:lineRule="auto"/>
        <w:ind w:firstLine="0" w:firstLineChars="0"/>
        <w:rPr>
          <w:rFonts w:ascii="仿宋" w:hAnsi="仿宋" w:eastAsia="仿宋" w:cs="仿宋"/>
          <w:sz w:val="28"/>
          <w:szCs w:val="28"/>
        </w:rPr>
      </w:pPr>
      <w:r>
        <w:rPr>
          <w:rFonts w:hint="eastAsia" w:ascii="仿宋" w:hAnsi="仿宋" w:eastAsia="仿宋" w:cs="仿宋"/>
          <w:sz w:val="28"/>
          <w:szCs w:val="28"/>
        </w:rPr>
        <w:t>没有形成精品线路，仓储、运输等基础条件较差，金融、信息经营业态现代化水平低。这对于突泉县相对薄弱的综合交通运输体系的建设提出了极大挑战。</w:t>
      </w:r>
    </w:p>
    <w:p w14:paraId="3DF63F77">
      <w:pPr>
        <w:pStyle w:val="15"/>
        <w:ind w:firstLine="0" w:firstLineChars="0"/>
        <w:jc w:val="center"/>
        <w:rPr>
          <w:rFonts w:ascii="仿宋" w:hAnsi="仿宋" w:eastAsia="仿宋" w:cs="仿宋"/>
          <w:sz w:val="22"/>
          <w:szCs w:val="22"/>
        </w:rPr>
      </w:pPr>
      <w:r>
        <w:rPr>
          <w:rFonts w:hint="eastAsia" w:ascii="仿宋" w:hAnsi="仿宋" w:eastAsia="仿宋" w:cs="仿宋"/>
          <w:sz w:val="22"/>
          <w:szCs w:val="22"/>
        </w:rPr>
        <w:t>表 突泉县综合交通运输发展S</w:t>
      </w:r>
      <w:r>
        <w:rPr>
          <w:rFonts w:ascii="仿宋" w:hAnsi="仿宋" w:eastAsia="仿宋" w:cs="仿宋"/>
          <w:sz w:val="22"/>
          <w:szCs w:val="22"/>
        </w:rPr>
        <w:t>WOT</w:t>
      </w:r>
      <w:r>
        <w:rPr>
          <w:rFonts w:hint="eastAsia" w:ascii="仿宋" w:hAnsi="仿宋" w:eastAsia="仿宋" w:cs="仿宋"/>
          <w:sz w:val="22"/>
          <w:szCs w:val="22"/>
        </w:rPr>
        <w:t>分析</w:t>
      </w:r>
    </w:p>
    <w:tbl>
      <w:tblPr>
        <w:tblStyle w:val="10"/>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906"/>
        <w:gridCol w:w="2907"/>
        <w:gridCol w:w="2907"/>
      </w:tblGrid>
      <w:tr w14:paraId="167795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2906" w:type="dxa"/>
            <w:vMerge w:val="restart"/>
          </w:tcPr>
          <w:p w14:paraId="602B7379">
            <w:pPr>
              <w:widowControl/>
              <w:rPr>
                <w:rFonts w:eastAsia="仿宋_GB2312"/>
                <w:color w:val="000000"/>
                <w:sz w:val="24"/>
              </w:rPr>
            </w:pPr>
            <w:r>
              <mc:AlternateContent>
                <mc:Choice Requires="wps">
                  <w:drawing>
                    <wp:anchor distT="0" distB="0" distL="114300" distR="114300" simplePos="0" relativeHeight="251661312" behindDoc="0" locked="0" layoutInCell="1" allowOverlap="1">
                      <wp:simplePos x="0" y="0"/>
                      <wp:positionH relativeFrom="column">
                        <wp:posOffset>-46355</wp:posOffset>
                      </wp:positionH>
                      <wp:positionV relativeFrom="paragraph">
                        <wp:posOffset>809625</wp:posOffset>
                      </wp:positionV>
                      <wp:extent cx="765175" cy="342265"/>
                      <wp:effectExtent l="0" t="0" r="15875" b="635"/>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765175" cy="342265"/>
                              </a:xfrm>
                              <a:prstGeom prst="rect">
                                <a:avLst/>
                              </a:prstGeom>
                              <a:solidFill>
                                <a:srgbClr val="FFFFFF"/>
                              </a:solidFill>
                              <a:ln>
                                <a:noFill/>
                              </a:ln>
                            </wps:spPr>
                            <wps:txbx>
                              <w:txbxContent>
                                <w:p w14:paraId="1CCA7CED">
                                  <w:pPr>
                                    <w:rPr>
                                      <w:rFonts w:ascii="仿宋_GB2312" w:eastAsia="仿宋_GB2312"/>
                                    </w:rPr>
                                  </w:pPr>
                                  <w:r>
                                    <w:rPr>
                                      <w:rFonts w:hint="eastAsia" w:ascii="仿宋_GB2312" w:eastAsia="仿宋_GB2312"/>
                                    </w:rPr>
                                    <w:t>战略选择</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65pt;margin-top:63.75pt;height:26.95pt;width:60.25pt;z-index:251661312;mso-width-relative:page;mso-height-relative:page;" fillcolor="#FFFFFF" filled="t" stroked="f" coordsize="21600,21600" o:gfxdata="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gWUaq1wAAAAoBAAAPAAAAAAAAAAEAIAAAACIAAABkcnMvZG93bnJldi54bWxQSwECFAAU&#10;AAAACACHTuJAQUBTOisCAAA9BAAADgAAAAAAAAABACAAAAAmAQAAZHJzL2Uyb0RvYy54bWxQSwUG&#10;AAAAAAYABgBZAQAAwwUAAAAA&#10;">
                      <v:fill on="t" focussize="0,0"/>
                      <v:stroke on="f"/>
                      <v:imagedata o:title=""/>
                      <o:lock v:ext="edit" aspectratio="f"/>
                      <v:textbox>
                        <w:txbxContent>
                          <w:p w14:paraId="1CCA7CED">
                            <w:pPr>
                              <w:rPr>
                                <w:rFonts w:ascii="仿宋_GB2312" w:eastAsia="仿宋_GB2312"/>
                              </w:rPr>
                            </w:pPr>
                            <w:r>
                              <w:rPr>
                                <w:rFonts w:hint="eastAsia" w:ascii="仿宋_GB2312" w:eastAsia="仿宋_GB2312"/>
                              </w:rPr>
                              <w:t>战略选择</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-46355</wp:posOffset>
                      </wp:positionH>
                      <wp:positionV relativeFrom="paragraph">
                        <wp:posOffset>10160</wp:posOffset>
                      </wp:positionV>
                      <wp:extent cx="1820545" cy="1938020"/>
                      <wp:effectExtent l="5080" t="9525" r="12700" b="5080"/>
                      <wp:wrapNone/>
                      <wp:docPr id="5" name="直接箭头连接符 5"/>
                      <wp:cNvGraphicFramePr/>
                      <a:graphic xmlns:a="http://schemas.openxmlformats.org/drawingml/2006/main">
                        <a:graphicData uri="http://schemas.microsoft.com/office/word/2010/wordprocessingShape">
                          <wps:wsp>
                            <wps:cNvCnPr>
                              <a:cxnSpLocks noChangeShapeType="1"/>
                            </wps:cNvCnPr>
                            <wps:spPr bwMode="auto">
                              <a:xfrm>
                                <a:off x="0" y="0"/>
                                <a:ext cx="1820545" cy="1938020"/>
                              </a:xfrm>
                              <a:prstGeom prst="straightConnector1">
                                <a:avLst/>
                              </a:prstGeom>
                              <a:noFill/>
                              <a:ln w="9525" cmpd="sng">
                                <a:solidFill>
                                  <a:srgbClr val="000000"/>
                                </a:solidFill>
                                <a:round/>
                              </a:ln>
                            </wps:spPr>
                            <wps:bodyPr/>
                          </wps:wsp>
                        </a:graphicData>
                      </a:graphic>
                    </wp:anchor>
                  </w:drawing>
                </mc:Choice>
                <mc:Fallback>
                  <w:pict>
                    <v:shape id="_x0000_s1026" o:spid="_x0000_s1026" o:spt="32" type="#_x0000_t32" style="position:absolute;left:0pt;margin-left:-3.65pt;margin-top:0.8pt;height:152.6pt;width:143.35pt;z-index:251662336;mso-width-relative:page;mso-height-relative:page;" filled="f" stroked="t" coordsize="21600,21600" o:gfxdata="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8Vj2dgAAAAIAQAADwAAAAAAAAABACAAAAAiAAAAZHJzL2Rv&#10;d25yZXYueG1sUEsBAhQAFAAAAAgAh07iQCb3NeoBAgAAzwMAAA4AAAAAAAAAAQAgAAAAJwEAAGRy&#10;cy9lMm9Eb2MueG1sUEsFBgAAAAAGAAYAWQEAAJo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603885</wp:posOffset>
                      </wp:positionH>
                      <wp:positionV relativeFrom="paragraph">
                        <wp:posOffset>296545</wp:posOffset>
                      </wp:positionV>
                      <wp:extent cx="824230" cy="288290"/>
                      <wp:effectExtent l="0" t="0" r="13970" b="1651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824230" cy="288290"/>
                              </a:xfrm>
                              <a:prstGeom prst="rect">
                                <a:avLst/>
                              </a:prstGeom>
                              <a:solidFill>
                                <a:srgbClr val="FFFFFF"/>
                              </a:solidFill>
                              <a:ln>
                                <a:noFill/>
                              </a:ln>
                            </wps:spPr>
                            <wps:txbx>
                              <w:txbxContent>
                                <w:p w14:paraId="1E146028">
                                  <w:pPr>
                                    <w:rPr>
                                      <w:rFonts w:ascii="仿宋_GB2312" w:eastAsia="仿宋_GB2312"/>
                                    </w:rPr>
                                  </w:pPr>
                                  <w:r>
                                    <w:rPr>
                                      <w:rFonts w:hint="eastAsia" w:ascii="仿宋_GB2312" w:eastAsia="仿宋_GB2312"/>
                                    </w:rPr>
                                    <w:t>内部条件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7.55pt;margin-top:23.35pt;height:22.7pt;width:64.9pt;z-index:251660288;mso-width-relative:page;mso-height-relative:page;" fillcolor="#FFFFFF" filled="t" stroked="f" coordsize="21600,21600" o:gfxdata="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uxfBU1gAAAAgBAAAPAAAAAAAAAAEAIAAAACIAAABkcnMvZG93bnJldi54bWxQSwECFAAUAAAA&#10;CACHTuJAASrDKikCAAA9BAAADgAAAAAAAAABACAAAAAlAQAAZHJzL2Uyb0RvYy54bWxQSwUGAAAA&#10;AAYABgBZAQAAwAUAAAAA&#10;">
                      <v:fill on="t" focussize="0,0"/>
                      <v:stroke on="f"/>
                      <v:imagedata o:title=""/>
                      <o:lock v:ext="edit" aspectratio="f"/>
                      <v:textbox>
                        <w:txbxContent>
                          <w:p w14:paraId="1E146028">
                            <w:pPr>
                              <w:rPr>
                                <w:rFonts w:ascii="仿宋_GB2312" w:eastAsia="仿宋_GB2312"/>
                              </w:rPr>
                            </w:pPr>
                            <w:r>
                              <w:rPr>
                                <w:rFonts w:hint="eastAsia" w:ascii="仿宋_GB2312" w:eastAsia="仿宋_GB2312"/>
                              </w:rPr>
                              <w:t>内部条件</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-97155</wp:posOffset>
                      </wp:positionH>
                      <wp:positionV relativeFrom="paragraph">
                        <wp:posOffset>1524000</wp:posOffset>
                      </wp:positionV>
                      <wp:extent cx="724535" cy="254000"/>
                      <wp:effectExtent l="0" t="0" r="18415" b="1270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24535" cy="254000"/>
                              </a:xfrm>
                              <a:prstGeom prst="rect">
                                <a:avLst/>
                              </a:prstGeom>
                              <a:solidFill>
                                <a:srgbClr val="FFFFFF"/>
                              </a:solidFill>
                              <a:ln>
                                <a:noFill/>
                              </a:ln>
                            </wps:spPr>
                            <wps:txbx>
                              <w:txbxContent>
                                <w:p w14:paraId="5B2129A3">
                                  <w:pPr>
                                    <w:rPr>
                                      <w:rFonts w:ascii="仿宋_GB2312" w:eastAsia="仿宋_GB2312"/>
                                    </w:rPr>
                                  </w:pPr>
                                  <w:r>
                                    <w:rPr>
                                      <w:rFonts w:hint="eastAsia" w:ascii="仿宋_GB2312" w:eastAsia="仿宋_GB2312"/>
                                    </w:rPr>
                                    <w:t>外部环境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65pt;margin-top:120pt;height:20pt;width:57.05pt;z-index:251659264;mso-width-relative:page;mso-height-relative:page;" fillcolor="#FFFFFF" filled="t" stroked="f" coordsize="21600,21600" o:gfxdata="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ytgDXAAAACgEAAA8AAAAAAAAAAQAgAAAAIgAAAGRycy9kb3ducmV2LnhtbFBLAQIUABQA&#10;AAAIAIdO4kAVel8LKgIAAD0EAAAOAAAAAAAAAAEAIAAAACYBAABkcnMvZTJvRG9jLnhtbFBLBQYA&#10;AAAABgAGAFkBAADCBQAAAAA=&#10;">
                      <v:fill on="t" focussize="0,0"/>
                      <v:stroke on="f"/>
                      <v:imagedata o:title=""/>
                      <o:lock v:ext="edit" aspectratio="f"/>
                      <v:textbox>
                        <w:txbxContent>
                          <w:p w14:paraId="5B2129A3">
                            <w:pPr>
                              <w:rPr>
                                <w:rFonts w:ascii="仿宋_GB2312" w:eastAsia="仿宋_GB2312"/>
                              </w:rPr>
                            </w:pPr>
                            <w:r>
                              <w:rPr>
                                <w:rFonts w:hint="eastAsia" w:ascii="仿宋_GB2312" w:eastAsia="仿宋_GB2312"/>
                              </w:rPr>
                              <w:t>外部环境</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-97155</wp:posOffset>
                      </wp:positionH>
                      <wp:positionV relativeFrom="paragraph">
                        <wp:posOffset>1083310</wp:posOffset>
                      </wp:positionV>
                      <wp:extent cx="1863725" cy="887730"/>
                      <wp:effectExtent l="11430" t="6350" r="10795" b="10795"/>
                      <wp:wrapNone/>
                      <wp:docPr id="3" name="直接箭头连接符 3"/>
                      <wp:cNvGraphicFramePr/>
                      <a:graphic xmlns:a="http://schemas.openxmlformats.org/drawingml/2006/main">
                        <a:graphicData uri="http://schemas.microsoft.com/office/word/2010/wordprocessingShape">
                          <wps:wsp>
                            <wps:cNvCnPr>
                              <a:cxnSpLocks noChangeShapeType="1"/>
                            </wps:cNvCnPr>
                            <wps:spPr bwMode="auto">
                              <a:xfrm>
                                <a:off x="0" y="0"/>
                                <a:ext cx="1863725" cy="887730"/>
                              </a:xfrm>
                              <a:prstGeom prst="straightConnector1">
                                <a:avLst/>
                              </a:prstGeom>
                              <a:noFill/>
                              <a:ln w="9525" cmpd="sng">
                                <a:solidFill>
                                  <a:srgbClr val="000000"/>
                                </a:solidFill>
                                <a:round/>
                              </a:ln>
                            </wps:spPr>
                            <wps:bodyPr/>
                          </wps:wsp>
                        </a:graphicData>
                      </a:graphic>
                    </wp:anchor>
                  </w:drawing>
                </mc:Choice>
                <mc:Fallback>
                  <w:pict>
                    <v:shape id="_x0000_s1026" o:spid="_x0000_s1026" o:spt="32" type="#_x0000_t32" style="position:absolute;left:0pt;margin-left:-7.65pt;margin-top:85.3pt;height:69.9pt;width:146.75pt;z-index:251663360;mso-width-relative:page;mso-height-relative:page;" filled="f" stroked="t" coordsize="21600,21600" o:gfxdata="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3/ZMH2gAAAAsBAAAPAAAAAAAAAAEAIAAAACIAAABkcnMv&#10;ZG93bnJldi54bWxQSwECFAAUAAAACACHTuJA7tj3xAECAADOAwAADgAAAAAAAAABACAAAAApAQAA&#10;ZHJzL2Uyb0RvYy54bWxQSwUGAAAAAAYABgBZAQAAnAUAAAAA&#10;">
                      <v:fill on="f" focussize="0,0"/>
                      <v:stroke color="#000000" joinstyle="round"/>
                      <v:imagedata o:title=""/>
                      <o:lock v:ext="edit" aspectratio="f"/>
                    </v:shape>
                  </w:pict>
                </mc:Fallback>
              </mc:AlternateContent>
            </w:r>
          </w:p>
        </w:tc>
        <w:tc>
          <w:tcPr>
            <w:tcW w:w="2907" w:type="dxa"/>
          </w:tcPr>
          <w:p w14:paraId="74D38E68">
            <w:pPr>
              <w:widowControl/>
              <w:rPr>
                <w:rFonts w:eastAsia="仿宋_GB2312"/>
                <w:b/>
                <w:bCs/>
                <w:color w:val="000000"/>
                <w:szCs w:val="21"/>
              </w:rPr>
            </w:pPr>
            <w:r>
              <w:rPr>
                <w:rFonts w:hint="eastAsia" w:eastAsia="仿宋_GB2312"/>
                <w:b/>
                <w:bCs/>
                <w:color w:val="000000"/>
                <w:szCs w:val="21"/>
              </w:rPr>
              <w:t>优势(Strength)</w:t>
            </w:r>
          </w:p>
        </w:tc>
        <w:tc>
          <w:tcPr>
            <w:tcW w:w="2907" w:type="dxa"/>
          </w:tcPr>
          <w:p w14:paraId="402627FA">
            <w:pPr>
              <w:widowControl/>
              <w:rPr>
                <w:rFonts w:eastAsia="仿宋_GB2312"/>
                <w:b/>
                <w:bCs/>
                <w:color w:val="000000"/>
                <w:sz w:val="24"/>
              </w:rPr>
            </w:pPr>
            <w:r>
              <w:rPr>
                <w:rFonts w:hint="eastAsia" w:eastAsia="仿宋_GB2312"/>
                <w:b/>
                <w:bCs/>
                <w:color w:val="000000"/>
                <w:szCs w:val="21"/>
              </w:rPr>
              <w:t>劣势(Weakness)</w:t>
            </w:r>
          </w:p>
        </w:tc>
      </w:tr>
      <w:tr w14:paraId="58C2A1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831" w:hRule="atLeast"/>
          <w:jc w:val="center"/>
        </w:trPr>
        <w:tc>
          <w:tcPr>
            <w:tcW w:w="2906" w:type="dxa"/>
            <w:vMerge w:val="continue"/>
          </w:tcPr>
          <w:p w14:paraId="749032CA">
            <w:pPr>
              <w:widowControl/>
              <w:rPr>
                <w:rFonts w:eastAsia="仿宋_GB2312"/>
                <w:color w:val="000000"/>
                <w:sz w:val="24"/>
              </w:rPr>
            </w:pPr>
          </w:p>
        </w:tc>
        <w:tc>
          <w:tcPr>
            <w:tcW w:w="2907" w:type="dxa"/>
            <w:vAlign w:val="center"/>
          </w:tcPr>
          <w:p w14:paraId="2ACEAC97">
            <w:pPr>
              <w:widowControl/>
              <w:rPr>
                <w:rFonts w:eastAsia="仿宋_GB2312"/>
                <w:color w:val="000000"/>
                <w:szCs w:val="21"/>
              </w:rPr>
            </w:pPr>
            <w:r>
              <w:rPr>
                <w:rFonts w:hint="eastAsia" w:eastAsia="仿宋_GB2312"/>
                <w:color w:val="000000"/>
                <w:szCs w:val="21"/>
              </w:rPr>
              <w:t>交通商贸区位、区域产业、旅游资源优势明显</w:t>
            </w:r>
          </w:p>
        </w:tc>
        <w:tc>
          <w:tcPr>
            <w:tcW w:w="2907" w:type="dxa"/>
            <w:vAlign w:val="center"/>
          </w:tcPr>
          <w:p w14:paraId="785F2F3C">
            <w:pPr>
              <w:widowControl/>
              <w:rPr>
                <w:rFonts w:eastAsia="仿宋_GB2312"/>
                <w:color w:val="000000"/>
                <w:szCs w:val="21"/>
              </w:rPr>
            </w:pPr>
            <w:r>
              <w:rPr>
                <w:rFonts w:hint="eastAsia" w:eastAsia="仿宋_GB2312"/>
                <w:color w:val="000000"/>
                <w:szCs w:val="21"/>
              </w:rPr>
              <w:t>缺少综合交通体系发展战略；</w:t>
            </w:r>
          </w:p>
          <w:p w14:paraId="444F4009">
            <w:pPr>
              <w:widowControl/>
              <w:rPr>
                <w:rFonts w:eastAsia="仿宋_GB2312"/>
                <w:color w:val="000000"/>
                <w:szCs w:val="21"/>
              </w:rPr>
            </w:pPr>
            <w:r>
              <w:rPr>
                <w:rFonts w:hint="eastAsia" w:eastAsia="仿宋_GB2312"/>
                <w:color w:val="000000"/>
                <w:szCs w:val="21"/>
              </w:rPr>
              <w:t>综合交通基础设施建设相对薄弱；</w:t>
            </w:r>
          </w:p>
          <w:p w14:paraId="34ECC8FC">
            <w:pPr>
              <w:widowControl/>
              <w:rPr>
                <w:rFonts w:eastAsia="仿宋_GB2312"/>
                <w:color w:val="000000"/>
                <w:szCs w:val="21"/>
              </w:rPr>
            </w:pPr>
            <w:r>
              <w:rPr>
                <w:rFonts w:hint="eastAsia" w:eastAsia="仿宋_GB2312"/>
                <w:color w:val="000000"/>
                <w:szCs w:val="21"/>
              </w:rPr>
              <w:t>产业结构亟待调整，现代服务业基础薄弱；</w:t>
            </w:r>
          </w:p>
          <w:p w14:paraId="5EDA40F1">
            <w:pPr>
              <w:widowControl/>
              <w:rPr>
                <w:rFonts w:eastAsia="仿宋_GB2312"/>
                <w:color w:val="000000"/>
                <w:szCs w:val="21"/>
              </w:rPr>
            </w:pPr>
            <w:r>
              <w:rPr>
                <w:rFonts w:hint="eastAsia" w:eastAsia="仿宋_GB2312"/>
                <w:color w:val="000000"/>
                <w:szCs w:val="21"/>
              </w:rPr>
              <w:t>土地和建设资金缺乏、筹资渠道少；</w:t>
            </w:r>
          </w:p>
          <w:p w14:paraId="718054D1">
            <w:pPr>
              <w:widowControl/>
              <w:rPr>
                <w:rFonts w:eastAsia="仿宋_GB2312"/>
                <w:color w:val="000000"/>
                <w:szCs w:val="21"/>
              </w:rPr>
            </w:pPr>
            <w:r>
              <w:rPr>
                <w:rFonts w:hint="eastAsia" w:eastAsia="仿宋_GB2312"/>
                <w:color w:val="000000"/>
                <w:szCs w:val="21"/>
              </w:rPr>
              <w:t>交通信息化、智能化建设有待加强</w:t>
            </w:r>
          </w:p>
        </w:tc>
      </w:tr>
      <w:tr w14:paraId="076707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2906" w:type="dxa"/>
          </w:tcPr>
          <w:p w14:paraId="561B21C0">
            <w:pPr>
              <w:widowControl/>
              <w:rPr>
                <w:rFonts w:eastAsia="仿宋_GB2312"/>
                <w:b/>
                <w:bCs/>
                <w:color w:val="000000"/>
                <w:sz w:val="24"/>
              </w:rPr>
            </w:pPr>
            <w:r>
              <w:rPr>
                <w:rFonts w:hint="eastAsia" w:eastAsia="仿宋_GB2312"/>
                <w:b/>
                <w:bCs/>
                <w:color w:val="000000"/>
                <w:szCs w:val="21"/>
              </w:rPr>
              <w:t>机遇(Opportunity)</w:t>
            </w:r>
          </w:p>
        </w:tc>
        <w:tc>
          <w:tcPr>
            <w:tcW w:w="2907" w:type="dxa"/>
          </w:tcPr>
          <w:p w14:paraId="3AAD2D2D">
            <w:pPr>
              <w:widowControl/>
              <w:rPr>
                <w:rFonts w:eastAsia="仿宋_GB2312"/>
                <w:b/>
                <w:bCs/>
                <w:color w:val="000000"/>
                <w:szCs w:val="21"/>
              </w:rPr>
            </w:pPr>
            <w:r>
              <w:rPr>
                <w:rFonts w:hint="eastAsia" w:eastAsia="仿宋_GB2312"/>
                <w:b/>
                <w:bCs/>
                <w:color w:val="000000"/>
                <w:szCs w:val="21"/>
              </w:rPr>
              <w:t>优势机会策略（SO）</w:t>
            </w:r>
          </w:p>
        </w:tc>
        <w:tc>
          <w:tcPr>
            <w:tcW w:w="2907" w:type="dxa"/>
          </w:tcPr>
          <w:p w14:paraId="11FB7375">
            <w:pPr>
              <w:widowControl/>
              <w:rPr>
                <w:rFonts w:eastAsia="仿宋_GB2312"/>
                <w:b/>
                <w:bCs/>
                <w:color w:val="000000"/>
                <w:sz w:val="24"/>
              </w:rPr>
            </w:pPr>
            <w:r>
              <w:rPr>
                <w:rFonts w:hint="eastAsia" w:eastAsia="仿宋_GB2312"/>
                <w:b/>
                <w:bCs/>
                <w:color w:val="000000"/>
                <w:szCs w:val="21"/>
              </w:rPr>
              <w:t>劣势机会策略（WO）</w:t>
            </w:r>
          </w:p>
        </w:tc>
      </w:tr>
      <w:tr w14:paraId="045D9E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2906" w:type="dxa"/>
            <w:vAlign w:val="center"/>
          </w:tcPr>
          <w:p w14:paraId="48420650">
            <w:pPr>
              <w:rPr>
                <w:rFonts w:eastAsia="仿宋_GB2312"/>
                <w:color w:val="000000"/>
              </w:rPr>
            </w:pPr>
            <w:r>
              <w:rPr>
                <w:rFonts w:hint="eastAsia" w:eastAsia="仿宋_GB2312"/>
                <w:color w:val="000000"/>
              </w:rPr>
              <w:t>国家发展战略带来的重大机遇；</w:t>
            </w:r>
          </w:p>
          <w:p w14:paraId="130CFEDB">
            <w:pPr>
              <w:rPr>
                <w:rFonts w:eastAsia="仿宋_GB2312"/>
                <w:color w:val="000000"/>
              </w:rPr>
            </w:pPr>
            <w:r>
              <w:rPr>
                <w:rFonts w:hint="eastAsia" w:eastAsia="仿宋_GB2312"/>
                <w:color w:val="000000"/>
              </w:rPr>
              <w:t>东北振兴战略及东部盟市跨越发展带来机遇</w:t>
            </w:r>
          </w:p>
          <w:p w14:paraId="2A39E142">
            <w:pPr>
              <w:rPr>
                <w:rFonts w:eastAsia="仿宋_GB2312"/>
                <w:color w:val="000000"/>
              </w:rPr>
            </w:pPr>
            <w:r>
              <w:rPr>
                <w:rFonts w:hint="eastAsia" w:eastAsia="仿宋_GB2312"/>
                <w:color w:val="000000"/>
              </w:rPr>
              <w:t>兴安盟城乡一体化发展带来机遇</w:t>
            </w:r>
          </w:p>
        </w:tc>
        <w:tc>
          <w:tcPr>
            <w:tcW w:w="2907" w:type="dxa"/>
          </w:tcPr>
          <w:p w14:paraId="35B88252">
            <w:pPr>
              <w:widowControl/>
              <w:rPr>
                <w:rFonts w:eastAsia="仿宋_GB2312"/>
                <w:color w:val="000000"/>
                <w:szCs w:val="21"/>
              </w:rPr>
            </w:pPr>
            <w:r>
              <w:rPr>
                <w:rFonts w:hint="eastAsia" w:eastAsia="仿宋_GB2312"/>
                <w:color w:val="000000"/>
                <w:szCs w:val="21"/>
              </w:rPr>
              <w:t>发挥优势抓住机遇，结合自身优势，积极争取国家和交通运输部的政策和资金支持，大力发展服务于公路、铁路、航空等交通方式的综合交通枢纽。</w:t>
            </w:r>
          </w:p>
          <w:p w14:paraId="4635C416">
            <w:pPr>
              <w:widowControl/>
              <w:rPr>
                <w:rFonts w:eastAsia="仿宋_GB2312"/>
                <w:color w:val="000000"/>
                <w:szCs w:val="21"/>
              </w:rPr>
            </w:pPr>
            <w:r>
              <w:rPr>
                <w:rFonts w:hint="eastAsia" w:eastAsia="仿宋_GB2312"/>
                <w:color w:val="000000"/>
                <w:szCs w:val="21"/>
              </w:rPr>
              <w:t>突泉站、突泉通用机场等客运综合枢纽带动产业园区建设等片区综合开发</w:t>
            </w:r>
          </w:p>
        </w:tc>
        <w:tc>
          <w:tcPr>
            <w:tcW w:w="2907" w:type="dxa"/>
          </w:tcPr>
          <w:p w14:paraId="5ADEFD8D">
            <w:pPr>
              <w:widowControl/>
              <w:rPr>
                <w:rFonts w:eastAsia="仿宋_GB2312"/>
                <w:color w:val="000000"/>
                <w:szCs w:val="21"/>
              </w:rPr>
            </w:pPr>
            <w:r>
              <w:rPr>
                <w:rFonts w:hint="eastAsia" w:eastAsia="仿宋_GB2312"/>
                <w:color w:val="000000"/>
                <w:szCs w:val="21"/>
              </w:rPr>
              <w:t>抓住机遇规避劣势，积极争取国家的政策与资金支持，加大投入力度，完善综合交通基础设施，借鉴国内外综合交通枢纽建设经验，理顺综合交通枢纽管理体制</w:t>
            </w:r>
          </w:p>
        </w:tc>
      </w:tr>
      <w:tr w14:paraId="3B4465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2906" w:type="dxa"/>
          </w:tcPr>
          <w:p w14:paraId="4533D7A5">
            <w:pPr>
              <w:widowControl/>
              <w:rPr>
                <w:rFonts w:eastAsia="仿宋_GB2312"/>
                <w:b/>
                <w:bCs/>
                <w:color w:val="000000"/>
                <w:sz w:val="24"/>
              </w:rPr>
            </w:pPr>
            <w:r>
              <w:rPr>
                <w:rFonts w:hint="eastAsia" w:eastAsia="仿宋_GB2312"/>
                <w:b/>
                <w:bCs/>
                <w:color w:val="000000"/>
                <w:szCs w:val="21"/>
              </w:rPr>
              <w:t>挑战(Threats)</w:t>
            </w:r>
          </w:p>
        </w:tc>
        <w:tc>
          <w:tcPr>
            <w:tcW w:w="2907" w:type="dxa"/>
          </w:tcPr>
          <w:p w14:paraId="70527AB7">
            <w:pPr>
              <w:widowControl/>
              <w:rPr>
                <w:rFonts w:eastAsia="仿宋_GB2312"/>
                <w:b/>
                <w:bCs/>
                <w:color w:val="000000"/>
                <w:sz w:val="24"/>
              </w:rPr>
            </w:pPr>
            <w:r>
              <w:rPr>
                <w:rFonts w:hint="eastAsia" w:eastAsia="仿宋_GB2312"/>
                <w:b/>
                <w:bCs/>
                <w:color w:val="000000"/>
                <w:szCs w:val="21"/>
              </w:rPr>
              <w:t>优势挑战策略（ST）</w:t>
            </w:r>
          </w:p>
        </w:tc>
        <w:tc>
          <w:tcPr>
            <w:tcW w:w="2907" w:type="dxa"/>
          </w:tcPr>
          <w:p w14:paraId="710F7B09">
            <w:pPr>
              <w:widowControl/>
              <w:rPr>
                <w:rFonts w:eastAsia="仿宋_GB2312"/>
                <w:b/>
                <w:bCs/>
                <w:color w:val="000000"/>
                <w:sz w:val="24"/>
              </w:rPr>
            </w:pPr>
            <w:r>
              <w:rPr>
                <w:rFonts w:hint="eastAsia" w:eastAsia="仿宋_GB2312"/>
                <w:b/>
                <w:bCs/>
                <w:color w:val="000000"/>
                <w:szCs w:val="21"/>
              </w:rPr>
              <w:t>劣势挑战策略（WT）</w:t>
            </w:r>
          </w:p>
        </w:tc>
      </w:tr>
      <w:tr w14:paraId="41EC82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2906" w:type="dxa"/>
            <w:vAlign w:val="center"/>
          </w:tcPr>
          <w:p w14:paraId="5962402C">
            <w:pPr>
              <w:widowControl/>
              <w:rPr>
                <w:rFonts w:eastAsia="仿宋_GB2312"/>
                <w:color w:val="000000"/>
                <w:szCs w:val="21"/>
              </w:rPr>
            </w:pPr>
            <w:r>
              <w:rPr>
                <w:rFonts w:hint="eastAsia" w:eastAsia="仿宋_GB2312"/>
                <w:color w:val="000000"/>
                <w:szCs w:val="21"/>
              </w:rPr>
              <w:t>激烈的区域竞争加剧了突泉的发展压力；</w:t>
            </w:r>
          </w:p>
          <w:p w14:paraId="7BB11549">
            <w:pPr>
              <w:widowControl/>
              <w:rPr>
                <w:rFonts w:eastAsia="仿宋_GB2312"/>
                <w:color w:val="000000"/>
                <w:szCs w:val="21"/>
              </w:rPr>
            </w:pPr>
            <w:r>
              <w:rPr>
                <w:rFonts w:hint="eastAsia" w:eastAsia="仿宋_GB2312"/>
                <w:color w:val="000000"/>
                <w:szCs w:val="21"/>
              </w:rPr>
              <w:t>主导产业规模及层次有待提升，为综合交通运输发展带来一定挑战</w:t>
            </w:r>
          </w:p>
        </w:tc>
        <w:tc>
          <w:tcPr>
            <w:tcW w:w="2907" w:type="dxa"/>
          </w:tcPr>
          <w:p w14:paraId="28F62986">
            <w:pPr>
              <w:widowControl/>
              <w:rPr>
                <w:rFonts w:eastAsia="仿宋_GB2312"/>
                <w:color w:val="000000"/>
                <w:szCs w:val="21"/>
              </w:rPr>
            </w:pPr>
            <w:r>
              <w:rPr>
                <w:rFonts w:hint="eastAsia" w:eastAsia="仿宋_GB2312"/>
                <w:color w:val="000000"/>
                <w:szCs w:val="21"/>
              </w:rPr>
              <w:t>发挥优势迎接挑战，在积极争取国家政策，加大综合交通建设力度的同时，注意转变发展方式，依靠科技进步，实现综合交通枢纽的快速发展</w:t>
            </w:r>
          </w:p>
        </w:tc>
        <w:tc>
          <w:tcPr>
            <w:tcW w:w="2907" w:type="dxa"/>
          </w:tcPr>
          <w:p w14:paraId="06CBF181">
            <w:pPr>
              <w:widowControl/>
              <w:rPr>
                <w:rFonts w:eastAsia="仿宋_GB2312"/>
                <w:color w:val="000000"/>
                <w:sz w:val="24"/>
              </w:rPr>
            </w:pPr>
            <w:r>
              <w:rPr>
                <w:rFonts w:hint="eastAsia" w:eastAsia="仿宋_GB2312"/>
                <w:color w:val="000000"/>
                <w:szCs w:val="21"/>
              </w:rPr>
              <w:t>克服劣势迎接挑战，争取国家的政策和资金支持，加强综合交通基础设施建设，多渠道筹集建设资金，走交通发展与环境保护相协调的可持续发展之路</w:t>
            </w:r>
          </w:p>
        </w:tc>
      </w:tr>
    </w:tbl>
    <w:p w14:paraId="2C901DE7">
      <w:pPr>
        <w:pStyle w:val="15"/>
        <w:spacing w:line="360" w:lineRule="auto"/>
        <w:ind w:firstLine="0" w:firstLineChars="0"/>
        <w:rPr>
          <w:rFonts w:ascii="仿宋" w:hAnsi="仿宋" w:eastAsia="仿宋" w:cs="仿宋"/>
          <w:b/>
          <w:bCs/>
          <w:sz w:val="28"/>
          <w:szCs w:val="28"/>
        </w:rPr>
      </w:pPr>
      <w:r>
        <w:rPr>
          <w:rFonts w:hint="eastAsia" w:ascii="仿宋" w:hAnsi="仿宋" w:eastAsia="仿宋" w:cs="仿宋"/>
          <w:b/>
          <w:bCs/>
          <w:sz w:val="28"/>
          <w:szCs w:val="28"/>
        </w:rPr>
        <w:t>2．发展思路</w:t>
      </w:r>
    </w:p>
    <w:p w14:paraId="6C4FFA55">
      <w:pPr>
        <w:pStyle w:val="15"/>
        <w:spacing w:line="360" w:lineRule="auto"/>
        <w:ind w:firstLine="560"/>
        <w:jc w:val="center"/>
        <w:rPr>
          <w:rFonts w:ascii="仿宋" w:hAnsi="仿宋" w:eastAsia="仿宋" w:cs="仿宋"/>
          <w:sz w:val="28"/>
          <w:szCs w:val="28"/>
        </w:rPr>
      </w:pPr>
      <w:r>
        <w:rPr>
          <w:rFonts w:hint="eastAsia" w:ascii="仿宋" w:hAnsi="仿宋" w:eastAsia="仿宋" w:cs="仿宋"/>
          <w:sz w:val="28"/>
          <w:szCs w:val="28"/>
        </w:rPr>
        <w:t>按照“统一战略目标、一个体系架构、一张网”的总体部署，统筹各运输方式基础设施规划建设，加强方式间紧密衔接，使铁路、公路、邮政等运输方式有效衔接，从基础设施网络、运输服务网络、交通信息网络三个层次着力打造综合交通运输系统五大体系:大数据交通信息体系、现代物流体系、公共交通体系、品质交通体系、基础设施体系。着力强化关键方向综合运输通道建设，着力强化综合运输枢纽等薄弱环节建设，对外大力发展“高速公路+干线公路+农村公路”一体化交通，对内实现交通高速、快速联通，并且着力抓好交通运输发展的结构调整和转型升级，加快构建内联外通、能力充分、服务均等、便利可靠、经济绿色的综合交通运输网络，促进突泉全县域人口、产业旅游经济发展，实现县域交通基础设施建设，促进区域交通运输资源共享、供需平衡，实现区域交通一体化。具体公路网架构如下图所示。</w:t>
      </w:r>
      <w:r>
        <w:rPr>
          <w:rFonts w:hint="eastAsia" w:ascii="仿宋" w:hAnsi="仿宋" w:eastAsia="仿宋" w:cs="仿宋"/>
          <w:sz w:val="28"/>
          <w:szCs w:val="28"/>
        </w:rPr>
        <w:drawing>
          <wp:inline distT="0" distB="0" distL="114300" distR="114300">
            <wp:extent cx="4940300" cy="2849880"/>
            <wp:effectExtent l="0" t="0" r="12700" b="7620"/>
            <wp:docPr id="7" name="图片 7" descr="微信图片_2020050410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00504104147"/>
                    <pic:cNvPicPr>
                      <a:picLocks noChangeAspect="1"/>
                    </pic:cNvPicPr>
                  </pic:nvPicPr>
                  <pic:blipFill>
                    <a:blip r:embed="rId4"/>
                    <a:stretch>
                      <a:fillRect/>
                    </a:stretch>
                  </pic:blipFill>
                  <pic:spPr>
                    <a:xfrm>
                      <a:off x="0" y="0"/>
                      <a:ext cx="4940300" cy="2849880"/>
                    </a:xfrm>
                    <a:prstGeom prst="rect">
                      <a:avLst/>
                    </a:prstGeom>
                  </pic:spPr>
                </pic:pic>
              </a:graphicData>
            </a:graphic>
          </wp:inline>
        </w:drawing>
      </w:r>
    </w:p>
    <w:p w14:paraId="21BA79D7">
      <w:pPr>
        <w:pStyle w:val="15"/>
        <w:spacing w:line="360" w:lineRule="auto"/>
        <w:ind w:firstLine="480"/>
        <w:jc w:val="center"/>
        <w:rPr>
          <w:rFonts w:ascii="仿宋" w:hAnsi="仿宋" w:eastAsia="仿宋" w:cs="仿宋"/>
          <w:sz w:val="24"/>
        </w:rPr>
      </w:pPr>
      <w:r>
        <w:rPr>
          <w:rFonts w:hint="eastAsia" w:ascii="仿宋" w:hAnsi="仿宋" w:eastAsia="仿宋" w:cs="仿宋"/>
          <w:sz w:val="24"/>
        </w:rPr>
        <w:t>图 突泉县公路通道布局规划图</w:t>
      </w:r>
    </w:p>
    <w:p w14:paraId="6B609E91">
      <w:pPr>
        <w:spacing w:line="360" w:lineRule="auto"/>
        <w:rPr>
          <w:rFonts w:ascii="仿宋" w:hAnsi="仿宋" w:eastAsia="仿宋" w:cs="仿宋"/>
          <w:b/>
          <w:bCs/>
          <w:sz w:val="28"/>
          <w:szCs w:val="28"/>
        </w:rPr>
      </w:pPr>
      <w:r>
        <w:rPr>
          <w:rFonts w:hint="eastAsia" w:ascii="仿宋" w:hAnsi="仿宋" w:eastAsia="仿宋" w:cs="仿宋"/>
          <w:b/>
          <w:bCs/>
          <w:sz w:val="28"/>
          <w:szCs w:val="28"/>
        </w:rPr>
        <w:t>（1）依托京津冀两翼通道，对接补充完善兴安盟东西向大通道</w:t>
      </w:r>
    </w:p>
    <w:p w14:paraId="1832202C">
      <w:pPr>
        <w:pStyle w:val="15"/>
        <w:spacing w:line="360" w:lineRule="auto"/>
        <w:ind w:firstLine="560"/>
        <w:rPr>
          <w:rFonts w:ascii="仿宋" w:hAnsi="仿宋" w:eastAsia="仿宋" w:cs="仿宋"/>
          <w:sz w:val="28"/>
          <w:szCs w:val="28"/>
        </w:rPr>
      </w:pPr>
      <w:r>
        <w:rPr>
          <w:rFonts w:hint="eastAsia" w:ascii="仿宋" w:hAnsi="仿宋" w:eastAsia="仿宋" w:cs="仿宋"/>
          <w:sz w:val="28"/>
          <w:szCs w:val="28"/>
        </w:rPr>
        <w:t>充分发挥突泉省际、区际联络的重要纽带作用，重点促进对外综合运输大通道建设，加快贯通兴安盟东西向区域交通骨架, 强化兴安盟与呼包鄂城市群以及东北城市群之间的衔接,增强沿自治区城镇轴、产业轴的辐射与吸引能力。</w:t>
      </w:r>
    </w:p>
    <w:p w14:paraId="1184006F">
      <w:pPr>
        <w:spacing w:line="360" w:lineRule="auto"/>
        <w:rPr>
          <w:rFonts w:ascii="仿宋" w:hAnsi="仿宋" w:eastAsia="仿宋" w:cs="仿宋"/>
          <w:b/>
          <w:bCs/>
          <w:sz w:val="28"/>
          <w:szCs w:val="28"/>
        </w:rPr>
      </w:pPr>
      <w:r>
        <w:rPr>
          <w:rFonts w:hint="eastAsia" w:ascii="仿宋" w:hAnsi="仿宋" w:eastAsia="仿宋" w:cs="仿宋"/>
          <w:b/>
          <w:bCs/>
          <w:sz w:val="28"/>
          <w:szCs w:val="28"/>
        </w:rPr>
        <w:t>（2）完善内部交通网络，构建盟内便捷顺畅的内部交通网</w:t>
      </w:r>
    </w:p>
    <w:p w14:paraId="66EF4124">
      <w:pPr>
        <w:pStyle w:val="15"/>
        <w:spacing w:line="360" w:lineRule="auto"/>
        <w:ind w:firstLine="560"/>
        <w:rPr>
          <w:rFonts w:ascii="仿宋" w:hAnsi="仿宋" w:eastAsia="仿宋" w:cs="仿宋"/>
          <w:sz w:val="28"/>
          <w:szCs w:val="28"/>
        </w:rPr>
      </w:pPr>
      <w:r>
        <w:rPr>
          <w:rFonts w:hint="eastAsia" w:ascii="仿宋" w:hAnsi="仿宋" w:eastAsia="仿宋" w:cs="仿宋"/>
          <w:sz w:val="28"/>
          <w:szCs w:val="28"/>
        </w:rPr>
        <w:t>进一步突出、强化突泉县省际交通枢纽节点的重要作用，优化完善内部网络，增强内外部辐射、传导功能。结合内部空间布局,优化突泉县干线通道，提升道路通行能力，交通路网整体布局结合产业、城镇空间，需在布局对外通道的基础上，完善县域内部的连通。强化突泉县与各县之间的互联互通，构建完善的内部公路网络，提升区域通达深度。</w:t>
      </w:r>
    </w:p>
    <w:p w14:paraId="52E8FA75">
      <w:pPr>
        <w:spacing w:line="360" w:lineRule="auto"/>
        <w:rPr>
          <w:rFonts w:ascii="仿宋" w:hAnsi="仿宋" w:eastAsia="仿宋" w:cs="仿宋"/>
          <w:b/>
          <w:bCs/>
          <w:sz w:val="28"/>
          <w:szCs w:val="28"/>
        </w:rPr>
      </w:pPr>
      <w:r>
        <w:rPr>
          <w:rFonts w:hint="eastAsia" w:ascii="仿宋" w:hAnsi="仿宋" w:eastAsia="仿宋" w:cs="仿宋"/>
          <w:b/>
          <w:bCs/>
          <w:sz w:val="28"/>
          <w:szCs w:val="28"/>
        </w:rPr>
        <w:t>（3）运输服务提质增效，提升高品质客运，着力发展现代物流</w:t>
      </w:r>
    </w:p>
    <w:p w14:paraId="677882AD">
      <w:pPr>
        <w:pStyle w:val="15"/>
        <w:spacing w:line="360" w:lineRule="auto"/>
        <w:ind w:firstLine="560"/>
        <w:rPr>
          <w:rFonts w:ascii="仿宋" w:hAnsi="仿宋" w:eastAsia="仿宋" w:cs="仿宋"/>
          <w:sz w:val="28"/>
          <w:szCs w:val="28"/>
        </w:rPr>
      </w:pPr>
      <w:r>
        <w:rPr>
          <w:rFonts w:hint="eastAsia" w:ascii="仿宋" w:hAnsi="仿宋" w:eastAsia="仿宋" w:cs="仿宋"/>
          <w:sz w:val="28"/>
          <w:szCs w:val="28"/>
        </w:rPr>
        <w:t>按照交通经济一体化协同发展的总体战略目标，重视突泉铁路、高速公路等各种交通方式的整合，以综合交通枢纽建设为主要抓手，强化各种交通枢纽的衔接转换作用，着力打造现代化综合交通运输服务体系，为地区经济、区域经济发展保驾护航。具体发展思路包括以下方面：</w:t>
      </w:r>
    </w:p>
    <w:p w14:paraId="252E426C">
      <w:pPr>
        <w:pStyle w:val="15"/>
        <w:spacing w:line="360" w:lineRule="auto"/>
        <w:ind w:firstLine="560"/>
        <w:rPr>
          <w:rFonts w:ascii="仿宋" w:hAnsi="仿宋" w:eastAsia="仿宋" w:cs="仿宋"/>
          <w:sz w:val="28"/>
          <w:szCs w:val="28"/>
        </w:rPr>
      </w:pPr>
      <w:r>
        <w:rPr>
          <w:rFonts w:hint="eastAsia" w:ascii="仿宋" w:hAnsi="仿宋" w:eastAsia="仿宋" w:cs="仿宋"/>
          <w:sz w:val="28"/>
          <w:szCs w:val="28"/>
        </w:rPr>
        <w:t>通过交通—旅游一体化、城乡交通一体化，全面提升客运服务体系标准，能力实现方式间零换乘，探索多元化的城乡客运模式，优化公交、出租车等体系服务水平。</w:t>
      </w:r>
    </w:p>
    <w:p w14:paraId="121132DB">
      <w:pPr>
        <w:pStyle w:val="15"/>
        <w:spacing w:line="360" w:lineRule="auto"/>
        <w:ind w:firstLine="560"/>
        <w:rPr>
          <w:rFonts w:ascii="仿宋" w:hAnsi="仿宋" w:eastAsia="仿宋" w:cs="仿宋"/>
          <w:sz w:val="28"/>
          <w:szCs w:val="28"/>
        </w:rPr>
      </w:pPr>
      <w:r>
        <w:rPr>
          <w:rFonts w:hint="eastAsia" w:ascii="仿宋" w:hAnsi="仿宋" w:eastAsia="仿宋" w:cs="仿宋"/>
          <w:sz w:val="28"/>
          <w:szCs w:val="28"/>
        </w:rPr>
        <w:t>发展多式联运，实现交通运输一体化，努力实现货运无缝化衔接，进一步规范货运市场管理，提高运输效率，降低运输成本，增强对产业经济的支撑保障作用。</w:t>
      </w:r>
    </w:p>
    <w:p w14:paraId="54F5588B">
      <w:pPr>
        <w:pStyle w:val="15"/>
        <w:spacing w:line="360" w:lineRule="auto"/>
        <w:ind w:firstLine="560"/>
        <w:rPr>
          <w:rFonts w:ascii="仿宋" w:hAnsi="仿宋" w:eastAsia="仿宋" w:cs="仿宋"/>
          <w:sz w:val="28"/>
          <w:szCs w:val="28"/>
        </w:rPr>
      </w:pPr>
      <w:r>
        <w:rPr>
          <w:rFonts w:hint="eastAsia" w:ascii="仿宋" w:hAnsi="仿宋" w:eastAsia="仿宋" w:cs="仿宋"/>
          <w:sz w:val="28"/>
          <w:szCs w:val="28"/>
        </w:rPr>
        <w:t>以运输物流一体化发展为导向，统筹货运枢纽场站与物流产业园区的布局规划，保证建设协同，促进产业融合，进一步推动物流产业降本增效，加快物流园区建设，重视农村物流，统筹物流配送体系建设，促进城乡物流协同发展，进一步增强地区经济的竞争力。</w:t>
      </w:r>
    </w:p>
    <w:p w14:paraId="21234408">
      <w:pPr>
        <w:spacing w:line="360" w:lineRule="auto"/>
        <w:rPr>
          <w:rFonts w:ascii="仿宋" w:hAnsi="仿宋" w:eastAsia="仿宋" w:cs="仿宋"/>
          <w:b/>
          <w:bCs/>
          <w:sz w:val="28"/>
          <w:szCs w:val="28"/>
        </w:rPr>
      </w:pPr>
      <w:r>
        <w:rPr>
          <w:rFonts w:hint="eastAsia" w:ascii="仿宋" w:hAnsi="仿宋" w:eastAsia="仿宋" w:cs="仿宋"/>
          <w:b/>
          <w:bCs/>
          <w:sz w:val="28"/>
          <w:szCs w:val="28"/>
        </w:rPr>
        <w:t>（4）谋划高品质交通，打造亮点</w:t>
      </w:r>
    </w:p>
    <w:p w14:paraId="7DC28FFA">
      <w:pPr>
        <w:pStyle w:val="15"/>
        <w:spacing w:line="360" w:lineRule="auto"/>
        <w:ind w:firstLine="0" w:firstLineChars="0"/>
        <w:rPr>
          <w:rFonts w:ascii="仿宋" w:hAnsi="仿宋" w:eastAsia="仿宋" w:cs="仿宋"/>
          <w:sz w:val="28"/>
          <w:szCs w:val="28"/>
        </w:rPr>
      </w:pPr>
      <w:r>
        <w:rPr>
          <w:rFonts w:hint="eastAsia" w:ascii="仿宋" w:hAnsi="仿宋" w:eastAsia="仿宋" w:cs="仿宋"/>
          <w:sz w:val="28"/>
          <w:szCs w:val="28"/>
        </w:rPr>
        <w:t xml:space="preserve">   着力加强资源路、旅游路、产业路、美丽公路的建设，形成高品质的农村公路网络，强化交通信息化的应用，打造为快慢综合交通旅游廊道，带动旅游产业发展。同时注重道路美化，交通安全和服务设施的进一步完善。</w:t>
      </w:r>
    </w:p>
    <w:p w14:paraId="4406ED2F">
      <w:pPr>
        <w:pStyle w:val="15"/>
        <w:spacing w:line="360" w:lineRule="auto"/>
        <w:ind w:firstLine="0" w:firstLineChars="0"/>
        <w:rPr>
          <w:rFonts w:ascii="仿宋" w:hAnsi="仿宋" w:eastAsia="仿宋" w:cs="仿宋"/>
          <w:b/>
          <w:bCs/>
          <w:sz w:val="28"/>
          <w:szCs w:val="28"/>
        </w:rPr>
      </w:pPr>
      <w:r>
        <w:rPr>
          <w:rFonts w:hint="eastAsia" w:ascii="仿宋" w:hAnsi="仿宋" w:eastAsia="仿宋" w:cs="仿宋"/>
          <w:b/>
          <w:bCs/>
          <w:sz w:val="28"/>
          <w:szCs w:val="28"/>
        </w:rPr>
        <w:t>3</w:t>
      </w:r>
      <w:r>
        <w:rPr>
          <w:rFonts w:ascii="仿宋" w:hAnsi="仿宋" w:eastAsia="仿宋" w:cs="仿宋"/>
          <w:b/>
          <w:bCs/>
          <w:sz w:val="28"/>
          <w:szCs w:val="28"/>
        </w:rPr>
        <w:t>.</w:t>
      </w:r>
      <w:r>
        <w:rPr>
          <w:rFonts w:hint="eastAsia" w:ascii="仿宋" w:hAnsi="仿宋" w:eastAsia="仿宋" w:cs="仿宋"/>
          <w:b/>
          <w:bCs/>
          <w:sz w:val="28"/>
          <w:szCs w:val="28"/>
        </w:rPr>
        <w:t>战略选择</w:t>
      </w:r>
    </w:p>
    <w:p w14:paraId="5BA3AA25">
      <w:pPr>
        <w:pStyle w:val="15"/>
        <w:spacing w:line="360" w:lineRule="auto"/>
        <w:ind w:firstLine="560"/>
        <w:rPr>
          <w:rFonts w:ascii="仿宋" w:hAnsi="仿宋" w:eastAsia="仿宋" w:cs="仿宋"/>
          <w:sz w:val="28"/>
          <w:szCs w:val="28"/>
        </w:rPr>
      </w:pPr>
      <w:r>
        <w:rPr>
          <w:rFonts w:hint="eastAsia" w:ascii="仿宋" w:hAnsi="仿宋" w:eastAsia="仿宋" w:cs="仿宋"/>
          <w:sz w:val="28"/>
          <w:szCs w:val="28"/>
        </w:rPr>
        <w:t>点轴开发理论是增长极理论的延伸，该理论十分重视“点”即增长极和“轴”即交通干线的作用,认为随着重要交通干线如铁路、公路、河流航线的建立,连接地区的人流和物流迅速增强,生产和运输成本降低,形成有利的区位条件和投资环境。产业和人口向交通干线集聚,使交通干线连接地区成为经济增长点,沿线成为经济增长轴。根据点轴圈带理论，以突泉镇为核心，以宝石镇、永安镇和水泉镇为三极，依托G5511为南北发展轴，构建“一核三极一轴”的控件开发模式，逐步引导突泉县人口、产业及交通向发展条件较好的突泉镇和发展轴带集聚，强化“非轴带地区”最大限度的生态环境保护，增强辐射带动能力，适度均衡地配置城乡资源，形成城乡协调发展的一体化格局。</w:t>
      </w:r>
    </w:p>
    <w:p w14:paraId="26C0F2E4">
      <w:pPr>
        <w:spacing w:line="360" w:lineRule="auto"/>
        <w:jc w:val="center"/>
        <w:rPr>
          <w:rFonts w:ascii="仿宋" w:hAnsi="仿宋" w:eastAsia="仿宋" w:cs="仿宋"/>
          <w:sz w:val="28"/>
          <w:szCs w:val="28"/>
        </w:rPr>
      </w:pPr>
      <w:r>
        <w:rPr>
          <w:rFonts w:ascii="仿宋" w:hAnsi="仿宋" w:eastAsia="仿宋" w:cs="仿宋"/>
          <w:sz w:val="28"/>
          <w:szCs w:val="28"/>
        </w:rPr>
        <w:drawing>
          <wp:inline distT="0" distB="0" distL="0" distR="0">
            <wp:extent cx="2839085" cy="20783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892314" cy="2117367"/>
                    </a:xfrm>
                    <a:prstGeom prst="rect">
                      <a:avLst/>
                    </a:prstGeom>
                    <a:noFill/>
                    <a:ln>
                      <a:noFill/>
                    </a:ln>
                  </pic:spPr>
                </pic:pic>
              </a:graphicData>
            </a:graphic>
          </wp:inline>
        </w:drawing>
      </w:r>
    </w:p>
    <w:p w14:paraId="1CDAD034">
      <w:pPr>
        <w:pStyle w:val="15"/>
        <w:spacing w:line="360" w:lineRule="auto"/>
        <w:ind w:firstLine="0" w:firstLineChars="0"/>
        <w:jc w:val="center"/>
        <w:rPr>
          <w:rFonts w:ascii="仿宋" w:hAnsi="仿宋" w:eastAsia="仿宋" w:cs="仿宋"/>
          <w:szCs w:val="21"/>
        </w:rPr>
      </w:pPr>
      <w:r>
        <w:rPr>
          <w:rFonts w:hint="eastAsia" w:ascii="仿宋" w:hAnsi="仿宋" w:eastAsia="仿宋" w:cs="仿宋"/>
          <w:szCs w:val="21"/>
        </w:rPr>
        <w:t>图 突泉“十四五”综合交通发展战略示意图</w:t>
      </w:r>
    </w:p>
    <w:p w14:paraId="2CC1353A">
      <w:pPr>
        <w:pStyle w:val="15"/>
        <w:spacing w:line="360" w:lineRule="auto"/>
        <w:ind w:firstLine="560"/>
        <w:jc w:val="left"/>
        <w:rPr>
          <w:rFonts w:ascii="仿宋" w:hAnsi="仿宋" w:eastAsia="仿宋" w:cs="仿宋"/>
          <w:sz w:val="28"/>
          <w:szCs w:val="28"/>
        </w:rPr>
      </w:pPr>
      <w:r>
        <w:rPr>
          <w:rFonts w:hint="eastAsia" w:ascii="仿宋" w:hAnsi="仿宋" w:eastAsia="仿宋" w:cs="仿宋"/>
          <w:sz w:val="28"/>
          <w:szCs w:val="28"/>
        </w:rPr>
        <w:t>基于上述分析，“十四五”乃至中长期，突泉县必须选择对外交通体系优先发展，内部交通网络协同优化；并以铁路建设为突破口，采取综合运输大通道先行，综合枢纽场站联动跟进，尽快搭建综合交通主骨架系统，以交通基础设施建设带动和刺激运输物流业、旅游业、农牧业、建筑业等上下游产业快速发展，并逐步完善，分阶段发展形成与区域经济协同发展的现代化综合交通体系的发展战略。</w:t>
      </w:r>
    </w:p>
    <w:p w14:paraId="3AB46374">
      <w:pPr>
        <w:keepNext/>
        <w:keepLines/>
        <w:spacing w:line="360" w:lineRule="auto"/>
        <w:outlineLvl w:val="2"/>
        <w:rPr>
          <w:rFonts w:ascii="仿宋" w:hAnsi="仿宋" w:eastAsia="仿宋" w:cs="仿宋"/>
          <w:b/>
          <w:bCs/>
          <w:sz w:val="28"/>
          <w:szCs w:val="28"/>
        </w:rPr>
      </w:pPr>
      <w:r>
        <w:rPr>
          <w:rFonts w:hint="eastAsia" w:ascii="仿宋" w:hAnsi="仿宋" w:eastAsia="仿宋" w:cs="仿宋"/>
          <w:b/>
          <w:bCs/>
          <w:sz w:val="28"/>
          <w:szCs w:val="28"/>
        </w:rPr>
        <w:t>（四）发展目标</w:t>
      </w:r>
    </w:p>
    <w:p w14:paraId="55D6F1F1">
      <w:pPr>
        <w:pStyle w:val="15"/>
        <w:spacing w:line="360" w:lineRule="auto"/>
        <w:ind w:firstLine="0" w:firstLineChars="0"/>
        <w:rPr>
          <w:rFonts w:ascii="仿宋" w:hAnsi="仿宋" w:eastAsia="仿宋" w:cs="仿宋"/>
          <w:b/>
          <w:bCs/>
          <w:sz w:val="28"/>
          <w:szCs w:val="28"/>
        </w:rPr>
      </w:pPr>
      <w:r>
        <w:rPr>
          <w:rFonts w:hint="eastAsia" w:ascii="仿宋" w:hAnsi="仿宋" w:eastAsia="仿宋" w:cs="仿宋"/>
          <w:b/>
          <w:bCs/>
          <w:sz w:val="28"/>
          <w:szCs w:val="28"/>
        </w:rPr>
        <w:t>1</w:t>
      </w:r>
      <w:r>
        <w:rPr>
          <w:rFonts w:ascii="仿宋" w:hAnsi="仿宋" w:eastAsia="仿宋" w:cs="仿宋"/>
          <w:b/>
          <w:bCs/>
          <w:sz w:val="28"/>
          <w:szCs w:val="28"/>
        </w:rPr>
        <w:t>.</w:t>
      </w:r>
      <w:r>
        <w:rPr>
          <w:rFonts w:hint="eastAsia" w:ascii="仿宋" w:hAnsi="仿宋" w:eastAsia="仿宋" w:cs="仿宋"/>
          <w:b/>
          <w:bCs/>
          <w:sz w:val="28"/>
          <w:szCs w:val="28"/>
        </w:rPr>
        <w:t>总体目标</w:t>
      </w:r>
    </w:p>
    <w:p w14:paraId="4533390E">
      <w:pPr>
        <w:pStyle w:val="15"/>
        <w:spacing w:line="360" w:lineRule="auto"/>
        <w:ind w:firstLine="560"/>
        <w:rPr>
          <w:rFonts w:ascii="仿宋" w:hAnsi="仿宋" w:eastAsia="仿宋" w:cs="仿宋"/>
          <w:sz w:val="28"/>
          <w:szCs w:val="28"/>
        </w:rPr>
      </w:pPr>
      <w:r>
        <w:rPr>
          <w:rFonts w:hint="eastAsia" w:ascii="仿宋" w:hAnsi="仿宋" w:eastAsia="仿宋" w:cs="仿宋"/>
          <w:sz w:val="28"/>
          <w:szCs w:val="28"/>
        </w:rPr>
        <w:t>充分适应国家、西部地区、内蒙古自治区和兴安盟经济社会发展的要求，立足蒙东、协同区域、放眼全国，按照“拓展功能、调整枢纽布局、优化网络衔接、提升服务能力”的规划思路，以发展蒙东枢纽型经济为目的，结合突泉县自身区位优势以及特色产业条件，分阶段、分批次建设功能完备、布局合理、分工明确、设计人性化、集疏运体系完善的综合交通运输体系。建设以突泉汽车站、火车站、通用机场为主体，公路汽车客运为辅助的突泉客运交通枢纽群体系；建设以循环经济工业园区和临空产业经济片区为主体的突泉货运枢纽群体系；最终形成布局合理、层次清晰、分工明确、互联互通、智能高效的立体化综合交通枢纽与现代化商贸物流体系，为国家西部大开发战略的实施，完善突泉区域性综合交通枢纽建设，促进蒙东地区经济繁荣发展提供有力的战略支撑。</w:t>
      </w:r>
    </w:p>
    <w:p w14:paraId="302B2242">
      <w:pPr>
        <w:pStyle w:val="15"/>
        <w:spacing w:line="360" w:lineRule="auto"/>
        <w:ind w:firstLine="0" w:firstLineChars="0"/>
        <w:rPr>
          <w:rFonts w:ascii="仿宋" w:hAnsi="仿宋" w:eastAsia="仿宋" w:cs="仿宋"/>
          <w:b/>
          <w:bCs/>
          <w:sz w:val="28"/>
          <w:szCs w:val="28"/>
        </w:rPr>
      </w:pPr>
      <w:r>
        <w:rPr>
          <w:rFonts w:hint="eastAsia" w:ascii="仿宋" w:hAnsi="仿宋" w:eastAsia="仿宋" w:cs="仿宋"/>
          <w:b/>
          <w:bCs/>
          <w:sz w:val="28"/>
          <w:szCs w:val="28"/>
        </w:rPr>
        <w:t>2</w:t>
      </w:r>
      <w:r>
        <w:rPr>
          <w:rFonts w:ascii="仿宋" w:hAnsi="仿宋" w:eastAsia="仿宋" w:cs="仿宋"/>
          <w:b/>
          <w:bCs/>
          <w:sz w:val="28"/>
          <w:szCs w:val="28"/>
        </w:rPr>
        <w:t>.</w:t>
      </w:r>
      <w:r>
        <w:rPr>
          <w:rFonts w:hint="eastAsia" w:ascii="仿宋" w:hAnsi="仿宋" w:eastAsia="仿宋" w:cs="仿宋"/>
          <w:b/>
          <w:bCs/>
          <w:sz w:val="28"/>
          <w:szCs w:val="28"/>
        </w:rPr>
        <w:t>具体目标</w:t>
      </w:r>
    </w:p>
    <w:p w14:paraId="6B752DE8">
      <w:pPr>
        <w:pStyle w:val="15"/>
        <w:spacing w:line="360" w:lineRule="auto"/>
        <w:ind w:firstLine="0" w:firstLineChars="0"/>
        <w:rPr>
          <w:rFonts w:ascii="仿宋" w:hAnsi="仿宋" w:eastAsia="仿宋" w:cs="仿宋"/>
          <w:b/>
          <w:bCs/>
          <w:sz w:val="28"/>
          <w:szCs w:val="28"/>
        </w:rPr>
      </w:pPr>
      <w:r>
        <w:rPr>
          <w:rFonts w:hint="eastAsia" w:ascii="仿宋" w:hAnsi="仿宋" w:eastAsia="仿宋" w:cs="仿宋"/>
          <w:b/>
          <w:bCs/>
          <w:sz w:val="28"/>
          <w:szCs w:val="28"/>
        </w:rPr>
        <w:t>（1）构建突泉县客运集散中心，有效衔接内外部客运体系，促进旅游和交通融合</w:t>
      </w:r>
    </w:p>
    <w:p w14:paraId="73EFC2C3">
      <w:pPr>
        <w:pStyle w:val="15"/>
        <w:spacing w:line="360" w:lineRule="auto"/>
        <w:ind w:firstLine="560"/>
        <w:rPr>
          <w:rFonts w:ascii="仿宋" w:hAnsi="仿宋" w:eastAsia="仿宋" w:cs="仿宋"/>
          <w:sz w:val="28"/>
          <w:szCs w:val="28"/>
        </w:rPr>
      </w:pPr>
      <w:r>
        <w:rPr>
          <w:rFonts w:hint="eastAsia" w:ascii="仿宋" w:hAnsi="仿宋" w:eastAsia="仿宋" w:cs="仿宋"/>
          <w:sz w:val="28"/>
          <w:szCs w:val="28"/>
        </w:rPr>
        <w:t>为提升旅客集散、中转效率，要抓好城乡客运枢纽场站的建设，特别是农村客运站的建设，以提高农村客运网络化建设为目标，以实现客运场站综合交通化、城乡一体化、服务现代化为宗旨，满足农村群众的出行需要；充分发挥突泉县要素禀赋和特色经济优势，以现代物流理念为指导、区域市场需求为导向、企业为主体，大力推进物流资源整合，合理布局物流产业，提升物流服务水平。</w:t>
      </w:r>
    </w:p>
    <w:p w14:paraId="44709232">
      <w:pPr>
        <w:pStyle w:val="15"/>
        <w:spacing w:line="360" w:lineRule="auto"/>
        <w:ind w:firstLine="562"/>
        <w:rPr>
          <w:rFonts w:ascii="仿宋" w:hAnsi="仿宋" w:eastAsia="仿宋" w:cs="仿宋"/>
          <w:b/>
          <w:bCs/>
          <w:sz w:val="28"/>
          <w:szCs w:val="28"/>
        </w:rPr>
      </w:pPr>
      <w:r>
        <w:rPr>
          <w:rFonts w:hint="eastAsia" w:ascii="仿宋" w:hAnsi="仿宋" w:eastAsia="仿宋" w:cs="仿宋"/>
          <w:b/>
          <w:bCs/>
          <w:sz w:val="28"/>
          <w:szCs w:val="28"/>
        </w:rPr>
        <w:t>具体目标：</w:t>
      </w:r>
    </w:p>
    <w:p w14:paraId="76514763">
      <w:pPr>
        <w:pStyle w:val="15"/>
        <w:numPr>
          <w:ilvl w:val="0"/>
          <w:numId w:val="5"/>
        </w:numPr>
        <w:spacing w:line="360" w:lineRule="auto"/>
        <w:ind w:left="0" w:firstLine="0" w:firstLineChars="0"/>
        <w:rPr>
          <w:rFonts w:ascii="仿宋" w:hAnsi="仿宋" w:eastAsia="仿宋" w:cs="仿宋"/>
          <w:b/>
          <w:bCs/>
          <w:sz w:val="28"/>
          <w:szCs w:val="28"/>
        </w:rPr>
      </w:pPr>
      <w:r>
        <w:rPr>
          <w:rFonts w:hint="eastAsia" w:ascii="仿宋" w:hAnsi="仿宋" w:eastAsia="仿宋" w:cs="仿宋"/>
          <w:b/>
          <w:bCs/>
          <w:sz w:val="28"/>
          <w:szCs w:val="28"/>
        </w:rPr>
        <w:t>加快铁路通道建设，完善运输结构，促进区域经贸合作交流。</w:t>
      </w:r>
    </w:p>
    <w:p w14:paraId="7D0C663A">
      <w:pPr>
        <w:pStyle w:val="15"/>
        <w:spacing w:line="360" w:lineRule="auto"/>
        <w:ind w:firstLine="560"/>
        <w:rPr>
          <w:rFonts w:ascii="仿宋" w:hAnsi="仿宋" w:eastAsia="仿宋" w:cs="仿宋"/>
          <w:sz w:val="28"/>
          <w:szCs w:val="28"/>
        </w:rPr>
      </w:pPr>
      <w:r>
        <w:rPr>
          <w:rFonts w:hint="eastAsia" w:ascii="仿宋" w:hAnsi="仿宋" w:eastAsia="仿宋" w:cs="仿宋"/>
          <w:sz w:val="28"/>
          <w:szCs w:val="28"/>
        </w:rPr>
        <w:t>随着区域间经济联系日益紧密，区域间的交通流量必然会增加，客货集散和转运量增加。因此，加快建设途径突泉县的霍林河至长春的铁路，加快建设突泉火车站，有助于完善全县运输结构，促进区域间的经贸交流合作。</w:t>
      </w:r>
    </w:p>
    <w:p w14:paraId="06AE05C0">
      <w:pPr>
        <w:pStyle w:val="15"/>
        <w:numPr>
          <w:ilvl w:val="0"/>
          <w:numId w:val="5"/>
        </w:numPr>
        <w:spacing w:line="360" w:lineRule="auto"/>
        <w:ind w:left="0" w:firstLine="0" w:firstLineChars="0"/>
        <w:rPr>
          <w:rFonts w:ascii="仿宋" w:hAnsi="仿宋" w:eastAsia="仿宋" w:cs="仿宋"/>
          <w:sz w:val="28"/>
          <w:szCs w:val="28"/>
        </w:rPr>
      </w:pPr>
      <w:r>
        <w:rPr>
          <w:rFonts w:hint="eastAsia" w:ascii="仿宋" w:hAnsi="仿宋" w:eastAsia="仿宋" w:cs="仿宋"/>
          <w:b/>
          <w:bCs/>
          <w:sz w:val="28"/>
          <w:szCs w:val="28"/>
        </w:rPr>
        <w:t>改建公路，提升网络通达通畅，促进城乡基础建设。</w:t>
      </w:r>
      <w:r>
        <w:rPr>
          <w:rFonts w:hint="eastAsia" w:ascii="仿宋" w:hAnsi="仿宋" w:eastAsia="仿宋" w:cs="仿宋"/>
          <w:sz w:val="28"/>
          <w:szCs w:val="28"/>
        </w:rPr>
        <w:t>围绕新古典主义蒙元辽金风格，高质量推进城乡基础建设。针对内部干线，精细化梳理优化旗区内部农村公路，网络布局，解决瓶颈道路，并且有序开展通自然村组道路建设，向进村入户倾斜。抓好农村四好公路建设，完成S309阿力得尔至突泉段、S502农村公路和街巷硬化等项目的建设，并进行G5511草高吐至乌兰浩特高速公路、G111高速公路、S210突泉至地宫化段公路的改建，将X406吉林界至宝城村路网改善项目纳入自治区交通建设计划。</w:t>
      </w:r>
    </w:p>
    <w:p w14:paraId="10BF3BA2">
      <w:pPr>
        <w:pStyle w:val="15"/>
        <w:numPr>
          <w:ilvl w:val="0"/>
          <w:numId w:val="5"/>
        </w:numPr>
        <w:spacing w:line="360" w:lineRule="auto"/>
        <w:ind w:left="0" w:firstLine="0" w:firstLineChars="0"/>
        <w:rPr>
          <w:rFonts w:ascii="仿宋" w:hAnsi="仿宋" w:eastAsia="仿宋" w:cs="仿宋"/>
          <w:sz w:val="28"/>
          <w:szCs w:val="28"/>
        </w:rPr>
      </w:pPr>
      <w:r>
        <w:rPr>
          <w:rFonts w:hint="eastAsia" w:ascii="仿宋" w:hAnsi="仿宋" w:eastAsia="仿宋" w:cs="仿宋"/>
          <w:b/>
          <w:bCs/>
          <w:sz w:val="28"/>
          <w:szCs w:val="28"/>
        </w:rPr>
        <w:t>加快通用机场建设，完善客货交通集散设施，大力发展品质交通。</w:t>
      </w:r>
      <w:r>
        <w:rPr>
          <w:rFonts w:hint="eastAsia" w:ascii="仿宋" w:hAnsi="仿宋" w:eastAsia="仿宋" w:cs="仿宋"/>
          <w:sz w:val="28"/>
          <w:szCs w:val="28"/>
        </w:rPr>
        <w:t>适应跨省区特色旅游商贸发展需求，加快建设突泉县</w:t>
      </w:r>
      <w:bookmarkStart w:id="15" w:name="_Hlk39015129"/>
      <w:r>
        <w:rPr>
          <w:rFonts w:hint="eastAsia" w:ascii="仿宋" w:hAnsi="仿宋" w:eastAsia="仿宋" w:cs="仿宋"/>
          <w:sz w:val="28"/>
          <w:szCs w:val="28"/>
        </w:rPr>
        <w:t>通用机场</w:t>
      </w:r>
      <w:bookmarkEnd w:id="15"/>
      <w:r>
        <w:rPr>
          <w:rFonts w:hint="eastAsia" w:ascii="仿宋" w:hAnsi="仿宋" w:eastAsia="仿宋" w:cs="仿宋"/>
          <w:sz w:val="28"/>
          <w:szCs w:val="28"/>
        </w:rPr>
        <w:t>，与兰浩特机场衔接实现县内外旅游城市一体化覆盖，促进具有本地特色的临空经济发展，积极发展特色品质交通，大力发展“交通+旅游”、“交通+特色农产品”，这将促使兴安盟完善盟域内综合交通通道，强化与相关旅游点、产业点等各种交通方式的有效衔接，通过不断增强交通供给能力，支撑突泉经济持续快速发展。</w:t>
      </w:r>
    </w:p>
    <w:p w14:paraId="289EAA32">
      <w:pPr>
        <w:pStyle w:val="15"/>
        <w:spacing w:line="360" w:lineRule="auto"/>
        <w:ind w:firstLine="0" w:firstLineChars="0"/>
        <w:rPr>
          <w:rFonts w:ascii="仿宋" w:hAnsi="仿宋" w:eastAsia="仿宋" w:cs="仿宋"/>
          <w:b/>
          <w:bCs/>
          <w:sz w:val="28"/>
          <w:szCs w:val="28"/>
        </w:rPr>
      </w:pPr>
      <w:r>
        <w:rPr>
          <w:rFonts w:hint="eastAsia" w:ascii="仿宋" w:hAnsi="仿宋" w:eastAsia="仿宋" w:cs="仿宋"/>
          <w:b/>
          <w:bCs/>
          <w:sz w:val="28"/>
          <w:szCs w:val="28"/>
        </w:rPr>
        <w:t>（2）构建以突泉循环经济工业园区为核心的现代物流中心，促进农村小件物流配送中心的建设，促物流、邮政与交通融合</w:t>
      </w:r>
    </w:p>
    <w:p w14:paraId="5432D39A">
      <w:pPr>
        <w:pStyle w:val="15"/>
        <w:spacing w:line="360" w:lineRule="auto"/>
        <w:ind w:firstLine="560"/>
        <w:rPr>
          <w:rFonts w:ascii="仿宋" w:hAnsi="仿宋" w:eastAsia="仿宋" w:cs="仿宋"/>
          <w:sz w:val="28"/>
          <w:szCs w:val="28"/>
        </w:rPr>
      </w:pPr>
      <w:r>
        <w:rPr>
          <w:rFonts w:hint="eastAsia" w:ascii="仿宋" w:hAnsi="仿宋" w:eastAsia="仿宋" w:cs="仿宋"/>
          <w:sz w:val="28"/>
          <w:szCs w:val="28"/>
        </w:rPr>
        <w:t>根据突泉县经济社会发展趋势以及产业发展布局情况，结合区域交通基础设施布局，“十四五”期间构建以突泉循环经济工业园区为核心的现代物流中心，建立健全“综合物流园+物流中心”的县级物流网络，基本建成“物流（配送）中心+农村物流服务站”的乡镇级物流网络，对于农村物流村级网络，大力支持利用村级农家店、村级综合服务店、村邮站、电商综合服务点，采用一点多能的形式构建农村物流村级网络。远期基本建成覆盖县、乡、村三级的农村物流网络，解决农村物流各类物资“最后一公里”和“最初一公里”的瓶颈问题。</w:t>
      </w:r>
    </w:p>
    <w:p w14:paraId="1FBD2143">
      <w:pPr>
        <w:pStyle w:val="15"/>
        <w:spacing w:line="360" w:lineRule="auto"/>
        <w:ind w:firstLine="562"/>
        <w:rPr>
          <w:rFonts w:ascii="仿宋" w:hAnsi="仿宋" w:eastAsia="仿宋" w:cs="仿宋"/>
          <w:sz w:val="28"/>
          <w:szCs w:val="28"/>
        </w:rPr>
      </w:pPr>
      <w:r>
        <w:rPr>
          <w:rFonts w:hint="eastAsia" w:ascii="仿宋" w:hAnsi="仿宋" w:eastAsia="仿宋" w:cs="仿宋"/>
          <w:b/>
          <w:bCs/>
          <w:sz w:val="28"/>
          <w:szCs w:val="28"/>
        </w:rPr>
        <w:t>具体目标：</w:t>
      </w:r>
      <w:r>
        <w:rPr>
          <w:rFonts w:hint="eastAsia" w:ascii="仿宋" w:hAnsi="仿宋" w:eastAsia="仿宋" w:cs="仿宋"/>
          <w:sz w:val="28"/>
          <w:szCs w:val="28"/>
        </w:rPr>
        <w:t>加快春州物流园区三期工程建设，启动物流信息平台及农机、二手车汽贸交易中心项目，向10亿元级园区迈进。推进春州城市广场投入运营，打造县城商业核心区。依托电商产业园，做强“品味突泉”电商平台，推进突泉手攥面、煎饼等特色小吃连锁经营、网上销售，带动农产品上行、外销。加强与知名电商企业、大型商超合作，培育电商经营主体100家，打造特色网货10种，全县电子商务交易额突破1亿元。</w:t>
      </w:r>
    </w:p>
    <w:p w14:paraId="5D8368E2">
      <w:pPr>
        <w:pStyle w:val="15"/>
        <w:spacing w:line="360" w:lineRule="auto"/>
        <w:ind w:firstLine="560"/>
        <w:rPr>
          <w:rFonts w:ascii="仿宋" w:hAnsi="仿宋" w:eastAsia="仿宋" w:cs="仿宋"/>
          <w:sz w:val="28"/>
          <w:szCs w:val="28"/>
        </w:rPr>
      </w:pPr>
      <w:r>
        <w:rPr>
          <w:rFonts w:hint="eastAsia" w:ascii="仿宋" w:hAnsi="仿宋" w:eastAsia="仿宋" w:cs="仿宋"/>
          <w:sz w:val="28"/>
          <w:szCs w:val="28"/>
        </w:rPr>
        <w:t>在农村小件物流的配送方面，采取共同配送模式，前期发展农村公交班车捎货模式，以促进农村小件物流量的增长</w:t>
      </w:r>
      <w:r>
        <w:rPr>
          <w:rFonts w:ascii="仿宋" w:hAnsi="仿宋" w:eastAsia="仿宋" w:cs="仿宋"/>
          <w:sz w:val="28"/>
          <w:szCs w:val="28"/>
        </w:rPr>
        <w:t xml:space="preserve"> </w:t>
      </w:r>
      <w:r>
        <w:rPr>
          <w:rFonts w:hint="eastAsia" w:ascii="仿宋" w:hAnsi="仿宋" w:eastAsia="仿宋" w:cs="仿宋"/>
          <w:sz w:val="28"/>
          <w:szCs w:val="28"/>
        </w:rPr>
        <w:t>；后期实现专车配送模式，以发挥该模式在便捷、安全、统一、规范、广告宣传上的优势。前期建设的配送中心应具备满足当地农村小件物流集散的基本功能，还应考虑农副产品的加工、包装，以及物流配送信息服务等配套服务功能，后期考虑新增商务功能，通过招商吸引物流企业入驻，既可形成产业聚集，又可实现中心商铺化招租经营。</w:t>
      </w:r>
    </w:p>
    <w:p w14:paraId="208F3DF7">
      <w:pPr>
        <w:pStyle w:val="15"/>
        <w:spacing w:line="360" w:lineRule="auto"/>
        <w:ind w:firstLine="562"/>
        <w:rPr>
          <w:rFonts w:ascii="仿宋" w:hAnsi="仿宋" w:eastAsia="仿宋" w:cs="仿宋"/>
          <w:b/>
          <w:bCs/>
          <w:sz w:val="28"/>
          <w:szCs w:val="28"/>
        </w:rPr>
      </w:pPr>
      <w:r>
        <w:rPr>
          <w:rFonts w:hint="eastAsia" w:ascii="仿宋" w:hAnsi="仿宋" w:eastAsia="仿宋" w:cs="仿宋"/>
          <w:b/>
          <w:bCs/>
          <w:sz w:val="28"/>
          <w:szCs w:val="28"/>
        </w:rPr>
        <w:t>（</w:t>
      </w:r>
      <w:r>
        <w:rPr>
          <w:rFonts w:ascii="仿宋" w:hAnsi="仿宋" w:eastAsia="仿宋" w:cs="仿宋"/>
          <w:b/>
          <w:bCs/>
          <w:sz w:val="28"/>
          <w:szCs w:val="28"/>
        </w:rPr>
        <w:t>3</w:t>
      </w:r>
      <w:r>
        <w:rPr>
          <w:rFonts w:hint="eastAsia" w:ascii="仿宋" w:hAnsi="仿宋" w:eastAsia="仿宋" w:cs="仿宋"/>
          <w:b/>
          <w:bCs/>
          <w:sz w:val="28"/>
          <w:szCs w:val="28"/>
        </w:rPr>
        <w:t>）构建突泉县绿色交通运输体系</w:t>
      </w:r>
    </w:p>
    <w:p w14:paraId="2971C9B9">
      <w:pPr>
        <w:pStyle w:val="15"/>
        <w:spacing w:line="360" w:lineRule="auto"/>
        <w:ind w:firstLine="560"/>
        <w:rPr>
          <w:rFonts w:ascii="仿宋" w:hAnsi="仿宋" w:eastAsia="仿宋" w:cs="仿宋"/>
          <w:sz w:val="28"/>
          <w:szCs w:val="28"/>
        </w:rPr>
      </w:pPr>
      <w:r>
        <w:rPr>
          <w:rFonts w:hint="eastAsia" w:ascii="仿宋" w:hAnsi="仿宋" w:eastAsia="仿宋" w:cs="仿宋"/>
          <w:sz w:val="28"/>
          <w:szCs w:val="28"/>
        </w:rPr>
        <w:t>突泉县能耗水平较高，节能减排任务非常艰巨。交通运输行业是资源使用、能源消耗和温室气体排放的大户，面临的节能减排、保护环境和节约资源的任务将更加繁重。“十四五”时期，公路交通运输行业必须牢固树立可持续发展理念，将绿色低碳发展的理念贯穿于规划、建设、运营、管理全过程，节约集约利用资源，促进资源循环利用，降低能耗，推进结构性、管理性节能减排，加快构建绿色交通运输体系。</w:t>
      </w:r>
    </w:p>
    <w:p w14:paraId="49568556">
      <w:pPr>
        <w:spacing w:line="360" w:lineRule="auto"/>
        <w:ind w:firstLine="560" w:firstLineChars="200"/>
        <w:rPr>
          <w:rFonts w:ascii="仿宋" w:hAnsi="仿宋" w:eastAsia="仿宋" w:cs="仿宋"/>
          <w:sz w:val="28"/>
          <w:szCs w:val="28"/>
        </w:rPr>
      </w:pPr>
    </w:p>
    <w:p w14:paraId="1E87D467">
      <w:pPr>
        <w:pStyle w:val="4"/>
      </w:pPr>
      <w:bookmarkStart w:id="16" w:name="_Toc461638645"/>
      <w:r>
        <w:rPr>
          <w:rFonts w:hint="eastAsia" w:cs="仿宋"/>
        </w:rPr>
        <w:t>（五）“十四五”运输需求分析预测</w:t>
      </w:r>
      <w:bookmarkEnd w:id="16"/>
      <w:r>
        <w:rPr>
          <w:rFonts w:hint="eastAsia" w:cs="仿宋"/>
        </w:rPr>
        <w:t>及适应性分析</w:t>
      </w:r>
    </w:p>
    <w:p w14:paraId="4129C546">
      <w:pPr>
        <w:pStyle w:val="5"/>
        <w:rPr>
          <w:rFonts w:ascii="仿宋" w:hAnsi="仿宋" w:eastAsia="仿宋" w:cs="仿宋"/>
        </w:rPr>
      </w:pPr>
      <w:bookmarkStart w:id="17" w:name="_Toc461638646"/>
      <w:r>
        <w:rPr>
          <w:rFonts w:hint="eastAsia" w:ascii="仿宋" w:hAnsi="仿宋" w:eastAsia="仿宋" w:cs="仿宋"/>
        </w:rPr>
        <w:t>1.预测思路与技术路线</w:t>
      </w:r>
      <w:bookmarkEnd w:id="17"/>
    </w:p>
    <w:p w14:paraId="2A2CC176">
      <w:pPr>
        <w:spacing w:line="360" w:lineRule="auto"/>
        <w:ind w:firstLine="560"/>
        <w:rPr>
          <w:rFonts w:ascii="仿宋" w:hAnsi="仿宋" w:eastAsia="仿宋" w:cs="仿宋"/>
          <w:sz w:val="28"/>
          <w:szCs w:val="28"/>
        </w:rPr>
      </w:pPr>
      <w:r>
        <w:rPr>
          <w:rFonts w:hint="eastAsia" w:ascii="仿宋" w:hAnsi="仿宋" w:eastAsia="仿宋" w:cs="仿宋"/>
          <w:sz w:val="28"/>
          <w:szCs w:val="28"/>
        </w:rPr>
        <w:t>本次预测以经济学需求理论和系统科学自组织自适应理论为指导，按照交通拉动经济以及适度超前的规划思路，以综合交通与区域经济社会发展的相互关系为切入点，采取定性分析和定量计算相结合的方式，应用数据挖掘技术，分析突泉县运输需求阶段性特征及趋势，通过影响阶段性特征的变量之间作用关系，构建基于因果作用机理的多元回归预测模型；在此基础上，判断未来突泉县运输需求的分担率，进而预测未来突泉县需求量。</w:t>
      </w:r>
    </w:p>
    <w:p w14:paraId="6C8B5D61">
      <w:pPr>
        <w:pStyle w:val="5"/>
        <w:rPr>
          <w:rFonts w:ascii="仿宋" w:hAnsi="仿宋" w:eastAsia="仿宋" w:cs="仿宋"/>
        </w:rPr>
      </w:pPr>
      <w:r>
        <w:rPr>
          <w:rFonts w:hint="eastAsia" w:ascii="仿宋" w:hAnsi="仿宋" w:eastAsia="仿宋" w:cs="仿宋"/>
        </w:rPr>
        <w:t>2.客货运需求分析与预测</w:t>
      </w:r>
    </w:p>
    <w:p w14:paraId="72BD23F1">
      <w:pPr>
        <w:pStyle w:val="6"/>
        <w:rPr>
          <w:rFonts w:ascii="仿宋" w:hAnsi="仿宋" w:eastAsia="仿宋" w:cs="仿宋"/>
        </w:rPr>
      </w:pPr>
      <w:r>
        <w:rPr>
          <w:rFonts w:hint="eastAsia" w:ascii="仿宋" w:hAnsi="仿宋" w:eastAsia="仿宋" w:cs="仿宋"/>
        </w:rPr>
        <w:t>2.1客运</w:t>
      </w:r>
    </w:p>
    <w:p w14:paraId="69F6BFC9">
      <w:pPr>
        <w:spacing w:line="360" w:lineRule="auto"/>
        <w:rPr>
          <w:rFonts w:ascii="仿宋_GB2312" w:eastAsia="仿宋_GB2312"/>
          <w:b/>
          <w:sz w:val="28"/>
          <w:szCs w:val="28"/>
        </w:rPr>
      </w:pPr>
      <w:r>
        <w:rPr>
          <w:rFonts w:hint="eastAsia" w:ascii="仿宋_GB2312" w:eastAsia="仿宋_GB2312"/>
          <w:b/>
          <w:sz w:val="28"/>
          <w:szCs w:val="28"/>
        </w:rPr>
        <w:t>（一）客运总量需求分析</w:t>
      </w:r>
    </w:p>
    <w:p w14:paraId="3BBFCA7D">
      <w:pPr>
        <w:spacing w:line="360" w:lineRule="auto"/>
        <w:ind w:firstLine="560" w:firstLineChars="200"/>
        <w:rPr>
          <w:rFonts w:eastAsia="仿宋_GB2312"/>
          <w:sz w:val="28"/>
          <w:szCs w:val="28"/>
        </w:rPr>
      </w:pPr>
      <w:r>
        <w:rPr>
          <w:rFonts w:hint="eastAsia" w:eastAsia="仿宋_GB2312"/>
          <w:sz w:val="28"/>
          <w:szCs w:val="28"/>
        </w:rPr>
        <w:t>未来突泉县总体客运需求受三个因素的影响，一是伴随突泉县交通基础设施建设的稳步推进，城乡区域发展协调性增强，人民生活水平不断提高，私家车保有量持续增长，出行范围也不断向外延伸；二是铁路、高速公路、国省干道等现代化交通基础设施网络的完善以及服务水平的不断提升，突泉县居民出行方式的选择更为多样化，出行也更为便捷化；三是文化旅游业的转型升级发展，使突泉县旅游客运量在一定时期内会持续较快增长。这三个因素共同作用下，突泉县人均出行次数将大幅增加，进而使得区域客运量快速增长。</w:t>
      </w:r>
    </w:p>
    <w:p w14:paraId="2EE16098">
      <w:pPr>
        <w:pStyle w:val="15"/>
        <w:numPr>
          <w:ilvl w:val="0"/>
          <w:numId w:val="6"/>
        </w:numPr>
        <w:spacing w:line="360" w:lineRule="auto"/>
        <w:ind w:firstLineChars="0"/>
        <w:jc w:val="left"/>
        <w:rPr>
          <w:rFonts w:eastAsia="仿宋_GB2312"/>
          <w:b/>
          <w:bCs/>
          <w:sz w:val="28"/>
          <w:szCs w:val="28"/>
        </w:rPr>
      </w:pPr>
      <w:r>
        <w:rPr>
          <w:rFonts w:hint="eastAsia" w:eastAsia="仿宋_GB2312"/>
          <w:b/>
          <w:bCs/>
          <w:sz w:val="28"/>
          <w:szCs w:val="28"/>
        </w:rPr>
        <w:t>经济社会快速发展及居民生活水平提升，促进运输需求增加及需求结构调整</w:t>
      </w:r>
    </w:p>
    <w:p w14:paraId="5517FC4F">
      <w:pPr>
        <w:widowControl/>
        <w:spacing w:line="360" w:lineRule="auto"/>
        <w:ind w:firstLine="560" w:firstLineChars="200"/>
        <w:rPr>
          <w:rFonts w:eastAsia="仿宋_GB2312"/>
          <w:sz w:val="28"/>
          <w:szCs w:val="28"/>
        </w:rPr>
      </w:pPr>
      <w:r>
        <w:rPr>
          <w:rFonts w:hint="eastAsia" w:eastAsia="仿宋_GB2312"/>
          <w:sz w:val="28"/>
          <w:szCs w:val="28"/>
        </w:rPr>
        <w:t>2019年，全县上下以习近平新时代中国特色社会主义思想为指导，全面贯彻党的十九大和十九届二中、三中、四中全会精神，在盟委行署和县委坚强领导下，在县人大、政协监督支持下，坚持稳中求进工作总基调，认真落实新发展理念，凝心聚力，攻坚克难，经济社会呈现出持续健康发展的良好态势。全县地区生产总值完成67.4亿元，增长7.6%；固定资产投资完成27.7亿元，增长37.1%；公共财政预算收入完成3亿元，增长14.7%；社会消费品零售总额完成27.09亿元，增长5.2%；城乡常住居民人均可支配收入分别完成27834元和11162元，增长7.3%和11.6%。同时，随着居民收入水平提高，旅客运输需求无论在出行频率、出行距离都将相应增长，并呈现多样化、多层次特征。从空间分布来看，交通发生和吸引点主要集中在中心区域，主要是商业集中地区域。发生和吸引强度向外围逐渐递减。交通小区之间的发生和吸引分布极不平衡。因此，随着突泉县人均国内生产总值的增加，客运需求将进一步增加。随着突泉县经济社会持续快速增长和经济总量的不断扩大，特别是工业、旅游业等相关产业的快速发展，必然伴随着客流的同步增长；同时，随着客运总量的增加，客运需求结构进一步调整，对快速、舒适、便捷的“高快改善型”需求逐步增长。</w:t>
      </w:r>
    </w:p>
    <w:p w14:paraId="1BB31472">
      <w:pPr>
        <w:spacing w:line="360" w:lineRule="auto"/>
        <w:ind w:firstLine="562" w:firstLineChars="200"/>
        <w:rPr>
          <w:rFonts w:eastAsia="仿宋_GB2312"/>
          <w:b/>
          <w:bCs/>
          <w:sz w:val="28"/>
          <w:szCs w:val="28"/>
        </w:rPr>
      </w:pPr>
      <w:r>
        <w:rPr>
          <w:rFonts w:hint="eastAsia" w:eastAsia="仿宋_GB2312"/>
          <w:b/>
          <w:bCs/>
          <w:sz w:val="28"/>
          <w:szCs w:val="28"/>
        </w:rPr>
        <w:t>（2）城镇体系建设不断推进，运输通道传导效应凸显</w:t>
      </w:r>
    </w:p>
    <w:p w14:paraId="3D7D43F5">
      <w:pPr>
        <w:spacing w:line="360" w:lineRule="auto"/>
        <w:ind w:firstLine="560" w:firstLineChars="200"/>
        <w:rPr>
          <w:rFonts w:eastAsia="仿宋_GB2312"/>
          <w:sz w:val="28"/>
          <w:szCs w:val="28"/>
        </w:rPr>
      </w:pPr>
      <w:r>
        <w:rPr>
          <w:rFonts w:hint="eastAsia" w:eastAsia="仿宋_GB2312"/>
          <w:sz w:val="28"/>
          <w:szCs w:val="28"/>
        </w:rPr>
        <w:t>突泉县位于内蒙古自治区兴安盟西南部，地处大兴安岭向松嫩平原和科尔沁草原的过渡地带，东部与吉林省洮南市接壤。县域北部与科右前旗为邻，南部、西南部与科右中旗接壤，东部与吉林省洮南市毗邻，是兴安盟重要的交通枢纽。兴安盟</w:t>
      </w:r>
      <w:r>
        <w:rPr>
          <w:rFonts w:eastAsia="仿宋_GB2312"/>
          <w:sz w:val="28"/>
          <w:szCs w:val="28"/>
        </w:rPr>
        <w:t>常住人口城镇化率</w:t>
      </w:r>
      <w:r>
        <w:rPr>
          <w:rFonts w:hint="eastAsia" w:eastAsia="仿宋_GB2312"/>
          <w:sz w:val="28"/>
          <w:szCs w:val="28"/>
        </w:rPr>
        <w:t>提高，</w:t>
      </w:r>
      <w:r>
        <w:rPr>
          <w:rFonts w:eastAsia="仿宋_GB2312"/>
          <w:sz w:val="28"/>
          <w:szCs w:val="28"/>
        </w:rPr>
        <w:t>人居环境明显改善</w:t>
      </w:r>
      <w:r>
        <w:rPr>
          <w:rFonts w:hint="eastAsia" w:eastAsia="仿宋_GB2312"/>
          <w:sz w:val="28"/>
          <w:szCs w:val="28"/>
        </w:rPr>
        <w:t>，城镇体系推进显著。随着兴安盟城镇体系建设的不断推进，突泉作为城镇群中心城市组成部分和交通枢纽的地位将更加凸显，运输通道的传导效应也将集中体现。</w:t>
      </w:r>
    </w:p>
    <w:p w14:paraId="3CB1ECE3">
      <w:pPr>
        <w:spacing w:line="360" w:lineRule="auto"/>
        <w:ind w:firstLine="562" w:firstLineChars="200"/>
        <w:rPr>
          <w:rFonts w:eastAsia="仿宋_GB2312"/>
          <w:b/>
          <w:bCs/>
          <w:sz w:val="28"/>
          <w:szCs w:val="28"/>
        </w:rPr>
      </w:pPr>
      <w:r>
        <w:rPr>
          <w:rFonts w:hint="eastAsia" w:eastAsia="仿宋_GB2312"/>
          <w:b/>
          <w:bCs/>
          <w:sz w:val="28"/>
          <w:szCs w:val="28"/>
        </w:rPr>
        <w:t>（3）高速公路、通用机场等现代化交通基础设施网络的规划建设与完善，将产生大量跨区、过境、诱增运输需求</w:t>
      </w:r>
    </w:p>
    <w:p w14:paraId="73CAEFB3">
      <w:pPr>
        <w:spacing w:line="360" w:lineRule="auto"/>
        <w:ind w:firstLine="560" w:firstLineChars="200"/>
        <w:rPr>
          <w:rFonts w:eastAsia="仿宋_GB2312"/>
          <w:sz w:val="28"/>
          <w:szCs w:val="28"/>
        </w:rPr>
      </w:pPr>
      <w:r>
        <w:rPr>
          <w:rFonts w:hint="eastAsia" w:eastAsia="仿宋_GB2312"/>
          <w:sz w:val="28"/>
          <w:szCs w:val="28"/>
        </w:rPr>
        <w:t>随着突泉交通基础设施的规划建设，路网不断增加，等级结构不断调整，路网结构不断改善，会直接、间接的影响到区域经济和产业布局。突泉公路网逐年完善，突泉交通运输的时空可达性提高，不仅吸引并诱增大量区域内客货运输需求，而且依托生态旅游资源也会诱增大量的旅游运输需求，同时还将产生大量的过境运输需求。根据国内外对公路交通建设实践，以及对诱增交通量的研究，随着高速公路这种现代化交通方式的网络化发展，公路交通系统服务水平的大幅度提升，诱增交通出行需求占趋势交通需求的10%-30%。截至2020年底，突泉全市公路网密度低于全盟平均水平，一旦消除了配置短板，实现综合交通体系的立体化，综合运输的一体化发展，必将刺激客运需求迈上新的台阶，同时也将释放出巨大货运市场需求。</w:t>
      </w:r>
    </w:p>
    <w:p w14:paraId="19BADAFC">
      <w:pPr>
        <w:spacing w:line="360" w:lineRule="auto"/>
        <w:ind w:firstLine="562" w:firstLineChars="200"/>
        <w:rPr>
          <w:rFonts w:eastAsia="仿宋_GB2312"/>
          <w:b/>
          <w:bCs/>
          <w:sz w:val="28"/>
          <w:szCs w:val="28"/>
        </w:rPr>
      </w:pPr>
      <w:r>
        <w:rPr>
          <w:rFonts w:hint="eastAsia" w:eastAsia="仿宋_GB2312"/>
          <w:b/>
          <w:bCs/>
          <w:sz w:val="28"/>
          <w:szCs w:val="28"/>
        </w:rPr>
        <w:t>（4）铁路网不断完善，运输结构调整，枢纽分工趋于合理</w:t>
      </w:r>
    </w:p>
    <w:p w14:paraId="48BC0148">
      <w:pPr>
        <w:spacing w:line="360" w:lineRule="auto"/>
        <w:ind w:firstLine="560" w:firstLineChars="200"/>
        <w:rPr>
          <w:rFonts w:eastAsia="仿宋_GB2312"/>
          <w:sz w:val="28"/>
          <w:szCs w:val="28"/>
        </w:rPr>
      </w:pPr>
      <w:r>
        <w:rPr>
          <w:rFonts w:hint="eastAsia" w:eastAsia="仿宋_GB2312"/>
          <w:sz w:val="28"/>
          <w:szCs w:val="28"/>
        </w:rPr>
        <w:t>由于目前突泉综合运输体系尚不完善，</w:t>
      </w:r>
      <w:r>
        <w:rPr>
          <w:rFonts w:eastAsia="仿宋_GB2312"/>
          <w:sz w:val="28"/>
          <w:szCs w:val="28"/>
        </w:rPr>
        <w:t>对外连通度和运输能力均不足</w:t>
      </w:r>
      <w:r>
        <w:rPr>
          <w:rFonts w:hint="eastAsia" w:eastAsia="仿宋_GB2312"/>
          <w:sz w:val="28"/>
          <w:szCs w:val="28"/>
        </w:rPr>
        <w:t>，境内铁路场站枢纽配套设施建设滞后，枢纽分工也不尽合理。目前这些问题制约着铁路运输方式在综合运输体系中作用的充分发挥。由于目前突泉铁路尚未建成使用，公路长期以来占据客货运市场地位，但运输成本居高不下是严重制约其担负中长距离运输一个难以回避的主要短板。随着内蒙古城际铁路网的不断完善，突泉县铁路运输需求将会持续增强。结合国家《新时代中长期铁路网规划（2020至2035年）》，突泉铁路运输网络的不断完善将给突泉等地区带来出行时间和运输成本的大幅降低，将引导500公里以上中长距离旅客出行、物流配送由公路向铁路方式转换，公路将主要承担中、短途运输，在运输结构中的核心作用将会逐步减弱；相反增强了铁路在综合运输大通道中的竞争力，将成为中、长途旅客运输的主要力量，在运输结构中的比例将会逐步提升，使得其枢纽经济的竞争力得到显著提升。</w:t>
      </w:r>
    </w:p>
    <w:p w14:paraId="52CF7A87">
      <w:pPr>
        <w:spacing w:line="360" w:lineRule="auto"/>
        <w:ind w:firstLine="562" w:firstLineChars="200"/>
        <w:rPr>
          <w:rFonts w:eastAsia="仿宋_GB2312"/>
          <w:sz w:val="28"/>
          <w:szCs w:val="28"/>
        </w:rPr>
      </w:pPr>
      <w:r>
        <w:rPr>
          <w:rFonts w:hint="eastAsia" w:eastAsia="仿宋_GB2312"/>
          <w:b/>
          <w:bCs/>
          <w:sz w:val="28"/>
          <w:szCs w:val="28"/>
        </w:rPr>
        <w:t>（5）经济发展，旅游业升级，客运服务品质提升</w:t>
      </w:r>
    </w:p>
    <w:p w14:paraId="18E9C8F0">
      <w:pPr>
        <w:spacing w:line="360" w:lineRule="auto"/>
        <w:ind w:firstLine="560" w:firstLineChars="200"/>
        <w:rPr>
          <w:rFonts w:eastAsia="仿宋_GB2312"/>
          <w:sz w:val="28"/>
          <w:szCs w:val="28"/>
        </w:rPr>
      </w:pPr>
      <w:r>
        <w:rPr>
          <w:rFonts w:hint="eastAsia" w:eastAsia="仿宋_GB2312"/>
          <w:sz w:val="28"/>
          <w:szCs w:val="28"/>
        </w:rPr>
        <w:t>国内外实践经验证明，从交通运输经济学角度，反映一个地区交通经济一体化发展水平的重要指标就是以商务和旅游出行为目的的客流比例高、增长速度快。突泉作为兴安盟</w:t>
      </w:r>
      <w:r>
        <w:rPr>
          <w:rFonts w:eastAsia="仿宋_GB2312"/>
          <w:sz w:val="28"/>
          <w:szCs w:val="28"/>
        </w:rPr>
        <w:t>交通汇集的枢纽</w:t>
      </w:r>
      <w:r>
        <w:rPr>
          <w:rFonts w:hint="eastAsia" w:eastAsia="仿宋_GB2312"/>
          <w:sz w:val="28"/>
          <w:szCs w:val="28"/>
        </w:rPr>
        <w:t>之一，2020年打赢脱贫攻坚战，并且具有丰富的生态旅游资源，加之突泉县政府积极的政策引导，枢纽经济开发力度不断加大，对未来该地区高端客运需求增长将具有显著的刺激作用。</w:t>
      </w:r>
    </w:p>
    <w:p w14:paraId="558C13BD">
      <w:pPr>
        <w:spacing w:line="360" w:lineRule="auto"/>
        <w:ind w:firstLine="560" w:firstLineChars="200"/>
        <w:rPr>
          <w:rFonts w:eastAsia="仿宋_GB2312"/>
          <w:sz w:val="28"/>
          <w:szCs w:val="28"/>
        </w:rPr>
      </w:pPr>
      <w:r>
        <w:rPr>
          <w:rFonts w:hint="eastAsia" w:eastAsia="仿宋_GB2312"/>
          <w:sz w:val="28"/>
          <w:szCs w:val="28"/>
        </w:rPr>
        <w:t>随着经济发展和消费结构的升级，突泉县客运需求呈现多样化发展趋势，安全、高效、便捷、舒适乃至个性化的运输价值取向不断增强，人们对出行的要求不再局限于“走得了”，还要“走得好”。</w:t>
      </w:r>
    </w:p>
    <w:p w14:paraId="24C28E44">
      <w:pPr>
        <w:spacing w:line="360" w:lineRule="auto"/>
        <w:ind w:firstLine="560" w:firstLineChars="200"/>
        <w:rPr>
          <w:rFonts w:eastAsia="仿宋_GB2312"/>
          <w:sz w:val="28"/>
          <w:szCs w:val="28"/>
        </w:rPr>
      </w:pPr>
      <w:r>
        <w:rPr>
          <w:rFonts w:hint="eastAsia" w:eastAsia="仿宋_GB2312"/>
          <w:sz w:val="28"/>
          <w:szCs w:val="28"/>
        </w:rPr>
        <w:t>突泉有丰富的旅游资源，政府及相关部门整合现有旅游资源，紧紧围绕旅游品牌，充分利用特色资源，以生态自然、多元水体、田园乡村为主要依托，打造集体育运动、休闲度假、观光科考、乡村体验等功能于一体的，国际水准、全国知名的休闲旅游目的地。对于突泉县而言，旅游业的转型升级和快速发展使得高品质的旅游客运需求越来越强烈，自驾游、自助游将逐步成为游客选择的主要出行方式。</w:t>
      </w:r>
    </w:p>
    <w:p w14:paraId="082D9945">
      <w:pPr>
        <w:spacing w:line="360" w:lineRule="auto"/>
        <w:ind w:firstLine="560" w:firstLineChars="200"/>
        <w:rPr>
          <w:rFonts w:eastAsia="仿宋_GB2312"/>
          <w:sz w:val="28"/>
          <w:szCs w:val="28"/>
        </w:rPr>
      </w:pPr>
      <w:r>
        <w:rPr>
          <w:rFonts w:hint="eastAsia" w:eastAsia="仿宋_GB2312"/>
          <w:sz w:val="28"/>
          <w:szCs w:val="28"/>
        </w:rPr>
        <w:t>运输服务品质的提升，一方面要具备完善的综合运输体系，发挥各自的比较优势，实现功能优势互补；同时还要有布局合理、功能多样的客运枢纽作支撑，建设综合客运枢纽将多种运输方式进行有机衔接实现“零距离换乘”的需求也将凸现。随着通用机场的建设，突泉县综合交通枢纽逐渐实现“立体化”，并提升现代化水平，客运产品质量及服务水平显著提升，对刺激跨境、跨区域旅游、商务出行中高端客运市场具有重大的促进作用。</w:t>
      </w:r>
    </w:p>
    <w:p w14:paraId="6D25ABC8">
      <w:pPr>
        <w:spacing w:line="360" w:lineRule="auto"/>
        <w:ind w:firstLine="560" w:firstLineChars="200"/>
        <w:rPr>
          <w:rFonts w:eastAsia="仿宋_GB2312"/>
          <w:sz w:val="28"/>
          <w:szCs w:val="28"/>
        </w:rPr>
      </w:pPr>
      <w:r>
        <w:rPr>
          <w:rFonts w:hint="eastAsia" w:eastAsia="仿宋_GB2312"/>
          <w:sz w:val="28"/>
          <w:szCs w:val="28"/>
        </w:rPr>
        <w:t>整体来看，随着突泉县经济水平的发展，旅游资源的进一步开发，旅游产业的升级，区位优势显著的突泉县未来必将面临客流的快速增长。新阶段的客运需求重“量”，更重“质”，以安全、便捷、舒适为特点的出行需求成为主流，这对交通基础设施建设、客运结构、客运服务都提出了更高的要求。</w:t>
      </w:r>
    </w:p>
    <w:p w14:paraId="297254FC">
      <w:pPr>
        <w:spacing w:line="360" w:lineRule="auto"/>
        <w:rPr>
          <w:rFonts w:ascii="仿宋_GB2312" w:eastAsia="仿宋_GB2312"/>
          <w:b/>
          <w:sz w:val="28"/>
          <w:szCs w:val="28"/>
        </w:rPr>
      </w:pPr>
      <w:r>
        <w:rPr>
          <w:rFonts w:hint="eastAsia" w:ascii="仿宋_GB2312" w:eastAsia="仿宋_GB2312"/>
          <w:b/>
          <w:sz w:val="28"/>
          <w:szCs w:val="28"/>
        </w:rPr>
        <w:t>（二）客运总量需求预测</w:t>
      </w:r>
    </w:p>
    <w:p w14:paraId="56744658">
      <w:pPr>
        <w:spacing w:line="360" w:lineRule="auto"/>
        <w:ind w:firstLine="560" w:firstLineChars="200"/>
        <w:rPr>
          <w:rFonts w:eastAsia="仿宋_GB2312"/>
          <w:sz w:val="28"/>
          <w:szCs w:val="28"/>
        </w:rPr>
      </w:pPr>
      <w:r>
        <w:rPr>
          <w:rFonts w:hint="eastAsia" w:eastAsia="仿宋_GB2312"/>
          <w:sz w:val="28"/>
          <w:szCs w:val="28"/>
        </w:rPr>
        <w:t>基于上节客运市场需求各主要影响因素的综合分析，以及总结梳理突泉县近年来客运量生长规律可见，随着经济社会的发展，2013-2017年突泉县客运量逐年提高，从2013年</w:t>
      </w:r>
      <w:r>
        <w:rPr>
          <w:rFonts w:eastAsia="仿宋_GB2312"/>
          <w:sz w:val="28"/>
          <w:szCs w:val="28"/>
        </w:rPr>
        <w:t>1</w:t>
      </w:r>
      <w:r>
        <w:rPr>
          <w:rFonts w:hint="eastAsia" w:eastAsia="仿宋_GB2312"/>
          <w:sz w:val="28"/>
          <w:szCs w:val="28"/>
        </w:rPr>
        <w:t>89万人，增长到2017年的398万人，平均年增长率为</w:t>
      </w:r>
      <w:r>
        <w:rPr>
          <w:rFonts w:eastAsia="仿宋_GB2312"/>
          <w:sz w:val="28"/>
          <w:szCs w:val="28"/>
        </w:rPr>
        <w:t>2</w:t>
      </w:r>
      <w:r>
        <w:rPr>
          <w:rFonts w:hint="eastAsia" w:eastAsia="仿宋_GB2312"/>
          <w:sz w:val="28"/>
          <w:szCs w:val="28"/>
        </w:rPr>
        <w:t>0.46%，见图。</w:t>
      </w:r>
    </w:p>
    <w:p w14:paraId="5AE04320">
      <w:pPr>
        <w:spacing w:line="360" w:lineRule="auto"/>
        <w:jc w:val="center"/>
        <w:rPr>
          <w:b/>
          <w:kern w:val="0"/>
          <w:sz w:val="28"/>
          <w:szCs w:val="28"/>
        </w:rPr>
      </w:pPr>
      <w:r>
        <w:rPr>
          <w:rFonts w:hint="eastAsia"/>
          <w:b/>
          <w:kern w:val="0"/>
          <w:sz w:val="28"/>
          <w:szCs w:val="28"/>
        </w:rPr>
        <w:t>表3-1  突泉县客运总量及G</w:t>
      </w:r>
      <w:r>
        <w:rPr>
          <w:b/>
          <w:kern w:val="0"/>
          <w:sz w:val="28"/>
          <w:szCs w:val="28"/>
        </w:rPr>
        <w:t>DP</w:t>
      </w:r>
      <w:r>
        <w:rPr>
          <w:rFonts w:hint="eastAsia"/>
          <w:b/>
          <w:kern w:val="0"/>
          <w:sz w:val="28"/>
          <w:szCs w:val="28"/>
        </w:rPr>
        <w:t>总量（部分）</w:t>
      </w:r>
    </w:p>
    <w:tbl>
      <w:tblPr>
        <w:tblStyle w:val="1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65"/>
        <w:gridCol w:w="1715"/>
        <w:gridCol w:w="1386"/>
        <w:gridCol w:w="1100"/>
        <w:gridCol w:w="1791"/>
        <w:gridCol w:w="1429"/>
      </w:tblGrid>
      <w:tr w14:paraId="31D9A3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209" w:type="pct"/>
            <w:vAlign w:val="center"/>
          </w:tcPr>
          <w:p w14:paraId="78E6EDFF">
            <w:pPr>
              <w:spacing w:line="360" w:lineRule="auto"/>
              <w:jc w:val="center"/>
              <w:rPr>
                <w:rFonts w:ascii="等线" w:hAnsi="等线" w:eastAsia="等线" w:cs="等线"/>
                <w:sz w:val="28"/>
                <w:szCs w:val="28"/>
              </w:rPr>
            </w:pPr>
            <w:r>
              <w:rPr>
                <w:rFonts w:hint="eastAsia" w:ascii="等线" w:hAnsi="等线" w:eastAsia="等线" w:cs="等线"/>
                <w:sz w:val="28"/>
                <w:szCs w:val="28"/>
              </w:rPr>
              <w:t>年份</w:t>
            </w:r>
          </w:p>
        </w:tc>
        <w:tc>
          <w:tcPr>
            <w:tcW w:w="876" w:type="pct"/>
            <w:vAlign w:val="center"/>
          </w:tcPr>
          <w:p w14:paraId="7F3F34CB">
            <w:pPr>
              <w:spacing w:line="360" w:lineRule="auto"/>
              <w:jc w:val="center"/>
              <w:rPr>
                <w:rFonts w:ascii="等线" w:hAnsi="等线" w:eastAsia="等线" w:cs="等线"/>
                <w:sz w:val="28"/>
                <w:szCs w:val="28"/>
              </w:rPr>
            </w:pPr>
            <w:r>
              <w:rPr>
                <w:rFonts w:hint="eastAsia" w:ascii="等线" w:hAnsi="等线" w:eastAsia="等线" w:cs="等线"/>
                <w:sz w:val="28"/>
                <w:szCs w:val="28"/>
              </w:rPr>
              <w:t>2013</w:t>
            </w:r>
          </w:p>
        </w:tc>
        <w:tc>
          <w:tcPr>
            <w:tcW w:w="708" w:type="pct"/>
            <w:vAlign w:val="center"/>
          </w:tcPr>
          <w:p w14:paraId="04BD9125">
            <w:pPr>
              <w:spacing w:line="360" w:lineRule="auto"/>
              <w:jc w:val="center"/>
              <w:rPr>
                <w:rFonts w:ascii="等线" w:hAnsi="等线" w:eastAsia="等线" w:cs="等线"/>
                <w:sz w:val="28"/>
                <w:szCs w:val="28"/>
              </w:rPr>
            </w:pPr>
            <w:r>
              <w:rPr>
                <w:rFonts w:hint="eastAsia" w:ascii="等线" w:hAnsi="等线" w:eastAsia="等线" w:cs="等线"/>
                <w:sz w:val="28"/>
                <w:szCs w:val="28"/>
              </w:rPr>
              <w:t>2014</w:t>
            </w:r>
          </w:p>
        </w:tc>
        <w:tc>
          <w:tcPr>
            <w:tcW w:w="562" w:type="pct"/>
          </w:tcPr>
          <w:p w14:paraId="290DA525">
            <w:pPr>
              <w:spacing w:line="360" w:lineRule="auto"/>
              <w:jc w:val="center"/>
              <w:rPr>
                <w:rFonts w:ascii="等线" w:hAnsi="等线" w:eastAsia="等线" w:cs="等线"/>
                <w:sz w:val="28"/>
                <w:szCs w:val="28"/>
              </w:rPr>
            </w:pPr>
            <w:r>
              <w:rPr>
                <w:rFonts w:hint="eastAsia" w:ascii="等线" w:hAnsi="等线" w:eastAsia="等线" w:cs="等线"/>
                <w:sz w:val="28"/>
                <w:szCs w:val="28"/>
              </w:rPr>
              <w:t>2015</w:t>
            </w:r>
          </w:p>
        </w:tc>
        <w:tc>
          <w:tcPr>
            <w:tcW w:w="915" w:type="pct"/>
            <w:vAlign w:val="center"/>
          </w:tcPr>
          <w:p w14:paraId="46AA2EC8">
            <w:pPr>
              <w:spacing w:line="360" w:lineRule="auto"/>
              <w:jc w:val="center"/>
              <w:rPr>
                <w:rFonts w:ascii="等线" w:hAnsi="等线" w:eastAsia="等线" w:cs="等线"/>
                <w:sz w:val="28"/>
                <w:szCs w:val="28"/>
              </w:rPr>
            </w:pPr>
            <w:r>
              <w:rPr>
                <w:rFonts w:hint="eastAsia" w:ascii="等线" w:hAnsi="等线" w:eastAsia="等线" w:cs="等线"/>
                <w:sz w:val="28"/>
                <w:szCs w:val="28"/>
              </w:rPr>
              <w:t>2016</w:t>
            </w:r>
          </w:p>
        </w:tc>
        <w:tc>
          <w:tcPr>
            <w:tcW w:w="730" w:type="pct"/>
            <w:vAlign w:val="center"/>
          </w:tcPr>
          <w:p w14:paraId="5FEB1EEE">
            <w:pPr>
              <w:spacing w:line="360" w:lineRule="auto"/>
              <w:jc w:val="center"/>
              <w:rPr>
                <w:rFonts w:ascii="等线" w:hAnsi="等线" w:eastAsia="等线" w:cs="等线"/>
                <w:sz w:val="28"/>
                <w:szCs w:val="28"/>
              </w:rPr>
            </w:pPr>
            <w:r>
              <w:rPr>
                <w:rFonts w:hint="eastAsia" w:ascii="等线" w:hAnsi="等线" w:eastAsia="等线" w:cs="等线"/>
                <w:sz w:val="28"/>
                <w:szCs w:val="28"/>
              </w:rPr>
              <w:t>2017</w:t>
            </w:r>
          </w:p>
        </w:tc>
      </w:tr>
      <w:tr w14:paraId="06E710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209" w:type="pct"/>
            <w:vAlign w:val="center"/>
          </w:tcPr>
          <w:p w14:paraId="073706BC">
            <w:pPr>
              <w:spacing w:line="360" w:lineRule="auto"/>
              <w:jc w:val="center"/>
              <w:rPr>
                <w:rFonts w:ascii="等线" w:hAnsi="等线" w:eastAsia="等线" w:cs="等线"/>
                <w:sz w:val="28"/>
                <w:szCs w:val="28"/>
              </w:rPr>
            </w:pPr>
            <w:r>
              <w:rPr>
                <w:rFonts w:hint="eastAsia" w:ascii="等线" w:hAnsi="等线" w:eastAsia="等线" w:cs="等线"/>
                <w:sz w:val="28"/>
                <w:szCs w:val="28"/>
              </w:rPr>
              <w:t>客运量（万人）</w:t>
            </w:r>
          </w:p>
        </w:tc>
        <w:tc>
          <w:tcPr>
            <w:tcW w:w="876" w:type="pct"/>
            <w:vAlign w:val="center"/>
          </w:tcPr>
          <w:tbl>
            <w:tblPr>
              <w:tblStyle w:val="10"/>
              <w:tblW w:w="1062" w:type="dxa"/>
              <w:tblInd w:w="0" w:type="dxa"/>
              <w:tblLayout w:type="autofit"/>
              <w:tblCellMar>
                <w:top w:w="0" w:type="dxa"/>
                <w:left w:w="108" w:type="dxa"/>
                <w:bottom w:w="0" w:type="dxa"/>
                <w:right w:w="108" w:type="dxa"/>
              </w:tblCellMar>
            </w:tblPr>
            <w:tblGrid>
              <w:gridCol w:w="1062"/>
            </w:tblGrid>
            <w:tr w14:paraId="7A193106">
              <w:tblPrEx>
                <w:tblCellMar>
                  <w:top w:w="0" w:type="dxa"/>
                  <w:left w:w="108" w:type="dxa"/>
                  <w:bottom w:w="0" w:type="dxa"/>
                  <w:right w:w="108" w:type="dxa"/>
                </w:tblCellMar>
              </w:tblPrEx>
              <w:trPr>
                <w:trHeight w:val="276" w:hRule="atLeast"/>
              </w:trPr>
              <w:tc>
                <w:tcPr>
                  <w:tcW w:w="1062" w:type="dxa"/>
                  <w:tcBorders>
                    <w:top w:val="nil"/>
                    <w:left w:val="nil"/>
                    <w:bottom w:val="nil"/>
                    <w:right w:val="nil"/>
                  </w:tcBorders>
                  <w:shd w:val="clear" w:color="auto" w:fill="auto"/>
                  <w:noWrap/>
                  <w:vAlign w:val="bottom"/>
                </w:tcPr>
                <w:p w14:paraId="4C7B0C6A">
                  <w:pPr>
                    <w:widowControl/>
                    <w:spacing w:line="360" w:lineRule="auto"/>
                    <w:rPr>
                      <w:rFonts w:ascii="等线" w:hAnsi="等线" w:eastAsia="等线" w:cs="宋体"/>
                      <w:color w:val="000000"/>
                      <w:kern w:val="0"/>
                      <w:sz w:val="28"/>
                      <w:szCs w:val="28"/>
                    </w:rPr>
                  </w:pPr>
                  <w:r>
                    <w:rPr>
                      <w:rFonts w:hint="eastAsia" w:ascii="等线" w:hAnsi="等线" w:eastAsia="等线" w:cs="宋体"/>
                      <w:color w:val="000000"/>
                      <w:kern w:val="0"/>
                      <w:sz w:val="28"/>
                      <w:szCs w:val="28"/>
                    </w:rPr>
                    <w:t>89</w:t>
                  </w:r>
                </w:p>
              </w:tc>
            </w:tr>
          </w:tbl>
          <w:p w14:paraId="078B626A">
            <w:pPr>
              <w:widowControl/>
              <w:spacing w:line="360" w:lineRule="auto"/>
              <w:jc w:val="center"/>
              <w:rPr>
                <w:rFonts w:ascii="等线" w:hAnsi="等线" w:eastAsia="等线"/>
                <w:color w:val="000000"/>
                <w:sz w:val="28"/>
                <w:szCs w:val="28"/>
              </w:rPr>
            </w:pPr>
          </w:p>
        </w:tc>
        <w:tc>
          <w:tcPr>
            <w:tcW w:w="708" w:type="pct"/>
            <w:vAlign w:val="center"/>
          </w:tcPr>
          <w:p w14:paraId="6623D298">
            <w:pPr>
              <w:widowControl/>
              <w:spacing w:line="360" w:lineRule="auto"/>
              <w:jc w:val="center"/>
              <w:rPr>
                <w:rFonts w:ascii="等线" w:hAnsi="等线" w:eastAsia="等线"/>
                <w:color w:val="000000"/>
                <w:sz w:val="28"/>
                <w:szCs w:val="28"/>
              </w:rPr>
            </w:pPr>
            <w:r>
              <w:rPr>
                <w:rFonts w:hint="eastAsia" w:ascii="等线" w:hAnsi="等线" w:eastAsia="等线" w:cs="宋体"/>
                <w:color w:val="000000"/>
                <w:kern w:val="0"/>
                <w:sz w:val="28"/>
                <w:szCs w:val="28"/>
              </w:rPr>
              <w:t>105</w:t>
            </w:r>
          </w:p>
        </w:tc>
        <w:tc>
          <w:tcPr>
            <w:tcW w:w="562" w:type="pct"/>
          </w:tcPr>
          <w:p w14:paraId="28012386">
            <w:pPr>
              <w:spacing w:line="360" w:lineRule="auto"/>
              <w:jc w:val="center"/>
              <w:rPr>
                <w:rFonts w:ascii="等线" w:hAnsi="等线" w:eastAsia="等线" w:cs="等线"/>
                <w:sz w:val="28"/>
                <w:szCs w:val="28"/>
              </w:rPr>
            </w:pPr>
            <w:r>
              <w:rPr>
                <w:rFonts w:hint="eastAsia" w:ascii="等线" w:hAnsi="等线" w:eastAsia="等线" w:cs="宋体"/>
                <w:color w:val="000000"/>
                <w:kern w:val="0"/>
                <w:sz w:val="28"/>
                <w:szCs w:val="28"/>
              </w:rPr>
              <w:t>123</w:t>
            </w:r>
          </w:p>
        </w:tc>
        <w:tc>
          <w:tcPr>
            <w:tcW w:w="915" w:type="pct"/>
            <w:vAlign w:val="center"/>
          </w:tcPr>
          <w:tbl>
            <w:tblPr>
              <w:tblStyle w:val="10"/>
              <w:tblW w:w="960" w:type="dxa"/>
              <w:tblInd w:w="0" w:type="dxa"/>
              <w:tblLayout w:type="autofit"/>
              <w:tblCellMar>
                <w:top w:w="0" w:type="dxa"/>
                <w:left w:w="108" w:type="dxa"/>
                <w:bottom w:w="0" w:type="dxa"/>
                <w:right w:w="108" w:type="dxa"/>
              </w:tblCellMar>
            </w:tblPr>
            <w:tblGrid>
              <w:gridCol w:w="960"/>
            </w:tblGrid>
            <w:tr w14:paraId="75F46C73">
              <w:tblPrEx>
                <w:tblCellMar>
                  <w:top w:w="0" w:type="dxa"/>
                  <w:left w:w="108" w:type="dxa"/>
                  <w:bottom w:w="0" w:type="dxa"/>
                  <w:right w:w="108" w:type="dxa"/>
                </w:tblCellMar>
              </w:tblPrEx>
              <w:trPr>
                <w:trHeight w:val="276" w:hRule="atLeast"/>
              </w:trPr>
              <w:tc>
                <w:tcPr>
                  <w:tcW w:w="960" w:type="dxa"/>
                  <w:tcBorders>
                    <w:top w:val="nil"/>
                    <w:left w:val="nil"/>
                    <w:bottom w:val="nil"/>
                    <w:right w:val="nil"/>
                  </w:tcBorders>
                  <w:shd w:val="clear" w:color="auto" w:fill="auto"/>
                  <w:noWrap/>
                  <w:vAlign w:val="bottom"/>
                </w:tcPr>
                <w:p w14:paraId="53133920">
                  <w:pPr>
                    <w:widowControl/>
                    <w:spacing w:line="360" w:lineRule="auto"/>
                    <w:jc w:val="right"/>
                    <w:rPr>
                      <w:rFonts w:ascii="等线" w:hAnsi="等线" w:eastAsia="等线" w:cs="宋体"/>
                      <w:color w:val="000000"/>
                      <w:kern w:val="0"/>
                      <w:sz w:val="28"/>
                      <w:szCs w:val="28"/>
                    </w:rPr>
                  </w:pPr>
                  <w:r>
                    <w:rPr>
                      <w:rFonts w:hint="eastAsia" w:ascii="等线" w:hAnsi="等线" w:eastAsia="等线" w:cs="宋体"/>
                      <w:color w:val="000000"/>
                      <w:kern w:val="0"/>
                      <w:sz w:val="28"/>
                      <w:szCs w:val="28"/>
                    </w:rPr>
                    <w:t>163</w:t>
                  </w:r>
                </w:p>
              </w:tc>
            </w:tr>
          </w:tbl>
          <w:p w14:paraId="4C4250B3">
            <w:pPr>
              <w:spacing w:line="360" w:lineRule="auto"/>
              <w:jc w:val="center"/>
              <w:rPr>
                <w:rFonts w:ascii="等线" w:hAnsi="等线" w:eastAsia="等线" w:cs="等线"/>
                <w:sz w:val="28"/>
                <w:szCs w:val="28"/>
              </w:rPr>
            </w:pPr>
          </w:p>
        </w:tc>
        <w:tc>
          <w:tcPr>
            <w:tcW w:w="730" w:type="pct"/>
            <w:vAlign w:val="center"/>
          </w:tcPr>
          <w:p w14:paraId="4598208C">
            <w:pPr>
              <w:widowControl/>
              <w:spacing w:line="360" w:lineRule="auto"/>
              <w:jc w:val="center"/>
              <w:rPr>
                <w:rFonts w:ascii="等线" w:hAnsi="等线" w:eastAsia="等线" w:cs="宋体"/>
                <w:color w:val="000000"/>
                <w:kern w:val="0"/>
                <w:sz w:val="28"/>
                <w:szCs w:val="28"/>
              </w:rPr>
            </w:pPr>
            <w:r>
              <w:rPr>
                <w:rFonts w:hint="eastAsia" w:ascii="等线" w:hAnsi="等线" w:eastAsia="等线" w:cs="宋体"/>
                <w:color w:val="000000"/>
                <w:kern w:val="0"/>
                <w:sz w:val="28"/>
                <w:szCs w:val="28"/>
              </w:rPr>
              <w:t>208</w:t>
            </w:r>
          </w:p>
        </w:tc>
      </w:tr>
      <w:tr w14:paraId="4105A4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209" w:type="pct"/>
            <w:vAlign w:val="center"/>
          </w:tcPr>
          <w:p w14:paraId="4B414E99">
            <w:pPr>
              <w:spacing w:line="360" w:lineRule="auto"/>
              <w:jc w:val="center"/>
              <w:rPr>
                <w:rFonts w:ascii="等线" w:hAnsi="等线" w:eastAsia="等线" w:cs="等线"/>
                <w:sz w:val="28"/>
                <w:szCs w:val="28"/>
              </w:rPr>
            </w:pPr>
            <w:r>
              <w:rPr>
                <w:rFonts w:hint="eastAsia" w:ascii="等线" w:hAnsi="等线" w:eastAsia="等线" w:cs="等线"/>
                <w:sz w:val="28"/>
                <w:szCs w:val="28"/>
              </w:rPr>
              <w:t>G</w:t>
            </w:r>
            <w:r>
              <w:rPr>
                <w:rFonts w:ascii="等线" w:hAnsi="等线" w:eastAsia="等线" w:cs="等线"/>
                <w:sz w:val="28"/>
                <w:szCs w:val="28"/>
              </w:rPr>
              <w:t>DP</w:t>
            </w:r>
            <w:r>
              <w:rPr>
                <w:rFonts w:hint="eastAsia" w:ascii="等线" w:hAnsi="等线" w:eastAsia="等线" w:cs="等线"/>
                <w:sz w:val="28"/>
                <w:szCs w:val="28"/>
              </w:rPr>
              <w:t>（亿元）</w:t>
            </w:r>
          </w:p>
        </w:tc>
        <w:tc>
          <w:tcPr>
            <w:tcW w:w="876" w:type="pct"/>
            <w:vAlign w:val="center"/>
          </w:tcPr>
          <w:tbl>
            <w:tblPr>
              <w:tblStyle w:val="10"/>
              <w:tblW w:w="1087" w:type="dxa"/>
              <w:tblInd w:w="0" w:type="dxa"/>
              <w:tblLayout w:type="autofit"/>
              <w:tblCellMar>
                <w:top w:w="0" w:type="dxa"/>
                <w:left w:w="108" w:type="dxa"/>
                <w:bottom w:w="0" w:type="dxa"/>
                <w:right w:w="108" w:type="dxa"/>
              </w:tblCellMar>
            </w:tblPr>
            <w:tblGrid>
              <w:gridCol w:w="1087"/>
            </w:tblGrid>
            <w:tr w14:paraId="71DCB933">
              <w:tblPrEx>
                <w:tblCellMar>
                  <w:top w:w="0" w:type="dxa"/>
                  <w:left w:w="108" w:type="dxa"/>
                  <w:bottom w:w="0" w:type="dxa"/>
                  <w:right w:w="108" w:type="dxa"/>
                </w:tblCellMar>
              </w:tblPrEx>
              <w:trPr>
                <w:trHeight w:val="276" w:hRule="atLeast"/>
              </w:trPr>
              <w:tc>
                <w:tcPr>
                  <w:tcW w:w="1087" w:type="dxa"/>
                  <w:tcBorders>
                    <w:top w:val="nil"/>
                    <w:left w:val="nil"/>
                    <w:bottom w:val="nil"/>
                    <w:right w:val="nil"/>
                  </w:tcBorders>
                  <w:shd w:val="clear" w:color="auto" w:fill="auto"/>
                  <w:noWrap/>
                  <w:vAlign w:val="bottom"/>
                </w:tcPr>
                <w:p w14:paraId="796AD618">
                  <w:pPr>
                    <w:widowControl/>
                    <w:spacing w:line="360" w:lineRule="auto"/>
                    <w:ind w:right="220"/>
                    <w:rPr>
                      <w:rFonts w:ascii="等线" w:hAnsi="等线" w:eastAsia="等线" w:cs="宋体"/>
                      <w:color w:val="000000"/>
                      <w:kern w:val="0"/>
                      <w:sz w:val="28"/>
                      <w:szCs w:val="28"/>
                    </w:rPr>
                  </w:pPr>
                  <w:r>
                    <w:rPr>
                      <w:rFonts w:hint="eastAsia" w:ascii="等线" w:hAnsi="等线" w:eastAsia="等线" w:cs="宋体"/>
                      <w:color w:val="000000"/>
                      <w:kern w:val="0"/>
                      <w:sz w:val="28"/>
                      <w:szCs w:val="28"/>
                    </w:rPr>
                    <w:t>60.6</w:t>
                  </w:r>
                </w:p>
              </w:tc>
            </w:tr>
          </w:tbl>
          <w:p w14:paraId="2637AA49">
            <w:pPr>
              <w:widowControl/>
              <w:spacing w:line="360" w:lineRule="auto"/>
              <w:jc w:val="center"/>
              <w:rPr>
                <w:rFonts w:ascii="等线" w:hAnsi="等线" w:eastAsia="等线" w:cs="宋体"/>
                <w:kern w:val="0"/>
                <w:sz w:val="28"/>
                <w:szCs w:val="28"/>
              </w:rPr>
            </w:pPr>
          </w:p>
        </w:tc>
        <w:tc>
          <w:tcPr>
            <w:tcW w:w="708" w:type="pct"/>
            <w:vAlign w:val="center"/>
          </w:tcPr>
          <w:p w14:paraId="10700AD3">
            <w:pPr>
              <w:spacing w:line="360" w:lineRule="auto"/>
              <w:jc w:val="center"/>
              <w:rPr>
                <w:rFonts w:ascii="等线" w:hAnsi="等线" w:eastAsia="等线" w:cs="宋体"/>
                <w:kern w:val="0"/>
                <w:sz w:val="28"/>
                <w:szCs w:val="28"/>
              </w:rPr>
            </w:pPr>
            <w:r>
              <w:rPr>
                <w:rFonts w:hint="eastAsia" w:ascii="等线" w:hAnsi="等线" w:eastAsia="等线" w:cs="宋体"/>
                <w:color w:val="000000"/>
                <w:kern w:val="0"/>
                <w:sz w:val="28"/>
                <w:szCs w:val="28"/>
              </w:rPr>
              <w:t>66.4</w:t>
            </w:r>
          </w:p>
        </w:tc>
        <w:tc>
          <w:tcPr>
            <w:tcW w:w="562" w:type="pct"/>
            <w:vAlign w:val="bottom"/>
          </w:tcPr>
          <w:p w14:paraId="2E476968">
            <w:pPr>
              <w:widowControl/>
              <w:spacing w:line="360" w:lineRule="auto"/>
              <w:jc w:val="center"/>
              <w:rPr>
                <w:rFonts w:ascii="寰蒋闆呴粦" w:eastAsia="寰蒋闆呴粦"/>
                <w:color w:val="000000"/>
                <w:sz w:val="28"/>
                <w:szCs w:val="28"/>
              </w:rPr>
            </w:pPr>
            <w:r>
              <w:rPr>
                <w:rFonts w:hint="eastAsia" w:ascii="等线" w:hAnsi="等线" w:eastAsia="等线" w:cs="宋体"/>
                <w:color w:val="000000"/>
                <w:kern w:val="0"/>
                <w:sz w:val="28"/>
                <w:szCs w:val="28"/>
              </w:rPr>
              <w:t>73.4</w:t>
            </w:r>
          </w:p>
        </w:tc>
        <w:tc>
          <w:tcPr>
            <w:tcW w:w="915" w:type="pct"/>
            <w:vAlign w:val="bottom"/>
          </w:tcPr>
          <w:p w14:paraId="5692654A">
            <w:pPr>
              <w:widowControl/>
              <w:spacing w:line="360" w:lineRule="auto"/>
              <w:jc w:val="center"/>
              <w:rPr>
                <w:rFonts w:ascii="等线" w:hAnsi="等线" w:eastAsia="等线" w:cs="宋体"/>
                <w:kern w:val="0"/>
                <w:sz w:val="28"/>
                <w:szCs w:val="28"/>
              </w:rPr>
            </w:pPr>
            <w:r>
              <w:rPr>
                <w:rFonts w:hint="eastAsia" w:ascii="等线" w:hAnsi="等线" w:eastAsia="等线" w:cs="宋体"/>
                <w:color w:val="000000"/>
                <w:kern w:val="0"/>
                <w:sz w:val="28"/>
                <w:szCs w:val="28"/>
              </w:rPr>
              <w:t>76.4</w:t>
            </w:r>
          </w:p>
        </w:tc>
        <w:tc>
          <w:tcPr>
            <w:tcW w:w="730" w:type="pct"/>
            <w:vAlign w:val="bottom"/>
          </w:tcPr>
          <w:p w14:paraId="6B42D204">
            <w:pPr>
              <w:widowControl/>
              <w:spacing w:line="360" w:lineRule="auto"/>
              <w:jc w:val="center"/>
              <w:rPr>
                <w:rFonts w:ascii="等线" w:hAnsi="等线" w:eastAsia="等线" w:cs="宋体"/>
                <w:kern w:val="0"/>
                <w:sz w:val="28"/>
                <w:szCs w:val="28"/>
              </w:rPr>
            </w:pPr>
            <w:r>
              <w:rPr>
                <w:rFonts w:hint="eastAsia" w:ascii="等线" w:hAnsi="等线" w:eastAsia="等线" w:cs="宋体"/>
                <w:color w:val="000000"/>
                <w:kern w:val="0"/>
                <w:sz w:val="28"/>
                <w:szCs w:val="28"/>
              </w:rPr>
              <w:t>78.6</w:t>
            </w:r>
          </w:p>
        </w:tc>
      </w:tr>
    </w:tbl>
    <w:p w14:paraId="5161FE59">
      <w:pPr>
        <w:spacing w:line="360" w:lineRule="auto"/>
        <w:jc w:val="center"/>
        <w:rPr>
          <w:rFonts w:eastAsia="仿宋_GB2312"/>
          <w:sz w:val="28"/>
          <w:szCs w:val="28"/>
        </w:rPr>
      </w:pPr>
    </w:p>
    <w:p w14:paraId="6721FD71">
      <w:pPr>
        <w:spacing w:line="360" w:lineRule="auto"/>
        <w:jc w:val="center"/>
        <w:rPr>
          <w:rFonts w:eastAsia="仿宋_GB2312"/>
          <w:sz w:val="28"/>
          <w:szCs w:val="28"/>
        </w:rPr>
      </w:pPr>
      <w:r>
        <w:rPr>
          <w:sz w:val="28"/>
          <w:szCs w:val="28"/>
        </w:rPr>
        <w:drawing>
          <wp:inline distT="0" distB="0" distL="0" distR="0">
            <wp:extent cx="4572000" cy="2743200"/>
            <wp:effectExtent l="0" t="0" r="0" b="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5AE10524">
      <w:pPr>
        <w:spacing w:line="360" w:lineRule="auto"/>
        <w:jc w:val="center"/>
        <w:rPr>
          <w:b/>
          <w:bCs/>
          <w:kern w:val="0"/>
          <w:sz w:val="28"/>
          <w:szCs w:val="28"/>
        </w:rPr>
      </w:pPr>
      <w:r>
        <w:rPr>
          <w:rFonts w:hint="eastAsia" w:eastAsia="仿宋_GB2312"/>
          <w:b/>
          <w:bCs/>
          <w:sz w:val="28"/>
          <w:szCs w:val="28"/>
        </w:rPr>
        <w:t>图1</w:t>
      </w:r>
      <w:r>
        <w:rPr>
          <w:rFonts w:eastAsia="仿宋_GB2312"/>
          <w:b/>
          <w:bCs/>
          <w:color w:val="FF0000"/>
          <w:sz w:val="28"/>
          <w:szCs w:val="28"/>
        </w:rPr>
        <w:t xml:space="preserve"> </w:t>
      </w:r>
      <w:r>
        <w:rPr>
          <w:rFonts w:hint="eastAsia"/>
          <w:b/>
          <w:bCs/>
          <w:kern w:val="0"/>
          <w:sz w:val="28"/>
          <w:szCs w:val="28"/>
        </w:rPr>
        <w:t>突泉县客运总量及G</w:t>
      </w:r>
      <w:r>
        <w:rPr>
          <w:b/>
          <w:bCs/>
          <w:kern w:val="0"/>
          <w:sz w:val="28"/>
          <w:szCs w:val="28"/>
        </w:rPr>
        <w:t>DP</w:t>
      </w:r>
      <w:r>
        <w:rPr>
          <w:rFonts w:hint="eastAsia"/>
          <w:b/>
          <w:bCs/>
          <w:kern w:val="0"/>
          <w:sz w:val="28"/>
          <w:szCs w:val="28"/>
        </w:rPr>
        <w:t>总量（部分）</w:t>
      </w:r>
    </w:p>
    <w:p w14:paraId="4B715920">
      <w:pPr>
        <w:spacing w:line="360" w:lineRule="auto"/>
        <w:ind w:firstLine="560" w:firstLineChars="200"/>
        <w:rPr>
          <w:rFonts w:eastAsia="仿宋_GB2312"/>
          <w:sz w:val="28"/>
          <w:szCs w:val="28"/>
        </w:rPr>
      </w:pPr>
      <w:r>
        <w:rPr>
          <w:rFonts w:hint="eastAsia" w:eastAsia="仿宋_GB2312"/>
          <w:sz w:val="28"/>
          <w:szCs w:val="28"/>
        </w:rPr>
        <w:t>突泉县全社会客运总量的变化趋势总体呈上升趋势，从未来发展来看，随着突泉县摆脱贫困县后，突泉经济将持续快速增长，居民的收入水平也将随着快速提高，再加上人口规模的扩张，交通基础设施不断完善，特别是综合交通枢纽体系的建立完善，运输网络点线能力均衡协调，运输整体效能及服务水平快速提升，未来突泉的客运需求将呈平稳增长态势。结合突泉县经济社会及交通运输的发展趋势分析，采用时间序列、回归分析、灰色预测等方法，分别预测了突泉全社会客运量，最后对各种方法进行组合预测，确定全社会客运量预测的推荐值。</w:t>
      </w:r>
    </w:p>
    <w:p w14:paraId="26743916">
      <w:pPr>
        <w:spacing w:line="360" w:lineRule="auto"/>
        <w:ind w:firstLine="560" w:firstLineChars="200"/>
        <w:rPr>
          <w:rFonts w:eastAsia="仿宋_GB2312"/>
          <w:sz w:val="28"/>
          <w:szCs w:val="28"/>
        </w:rPr>
      </w:pPr>
      <w:r>
        <w:rPr>
          <w:rFonts w:hint="eastAsia" w:eastAsia="仿宋_GB2312"/>
          <w:sz w:val="28"/>
          <w:szCs w:val="28"/>
        </w:rPr>
        <w:t>（1）时间序列法——趋势外推法</w:t>
      </w:r>
    </w:p>
    <w:p w14:paraId="129DD34A">
      <w:pPr>
        <w:spacing w:line="360" w:lineRule="auto"/>
        <w:ind w:firstLine="560" w:firstLineChars="200"/>
        <w:rPr>
          <w:rFonts w:eastAsia="仿宋_GB2312"/>
          <w:sz w:val="28"/>
          <w:szCs w:val="28"/>
        </w:rPr>
      </w:pPr>
      <w:r>
        <w:rPr>
          <w:rFonts w:hint="eastAsia" w:eastAsia="仿宋_GB2312"/>
          <w:sz w:val="28"/>
          <w:szCs w:val="28"/>
        </w:rPr>
        <w:t>突泉县全社会客运量的历史数据反映了自身的发展趋势，由图1可知，因此用全社会客运量与时间变量做回归分析，采用趋势外推的方法可预测出未来特征年的全社会客运量，最终确定全社会客运量的回归方程：</w:t>
      </w:r>
      <m:oMath>
        <m:r>
          <m:rPr/>
          <w:rPr>
            <w:rFonts w:ascii="Cambria Math" w:eastAsia="仿宋_GB2312"/>
            <w:sz w:val="28"/>
            <w:szCs w:val="28"/>
          </w:rPr>
          <m:t>y=29.6x−59506.</m:t>
        </m:r>
        <m:r>
          <m:rPr/>
          <w:rPr>
            <w:rFonts w:hint="eastAsia" w:ascii="Cambria Math" w:eastAsia="仿宋_GB2312"/>
            <w:sz w:val="28"/>
            <w:szCs w:val="28"/>
          </w:rPr>
          <m:t>40</m:t>
        </m:r>
      </m:oMath>
      <w:r>
        <w:rPr>
          <w:rFonts w:hint="eastAsia" w:eastAsia="仿宋_GB2312"/>
          <w:sz w:val="28"/>
          <w:szCs w:val="28"/>
        </w:rPr>
        <w:t>，结果见表。</w:t>
      </w:r>
    </w:p>
    <w:p w14:paraId="64ED0F9C">
      <w:pPr>
        <w:spacing w:line="360" w:lineRule="auto"/>
        <w:ind w:firstLine="560" w:firstLineChars="200"/>
        <w:rPr>
          <w:rFonts w:eastAsia="仿宋_GB2312"/>
          <w:sz w:val="28"/>
          <w:szCs w:val="28"/>
        </w:rPr>
      </w:pPr>
    </w:p>
    <w:p w14:paraId="3B958870">
      <w:pPr>
        <w:spacing w:line="360" w:lineRule="auto"/>
        <w:jc w:val="center"/>
        <w:rPr>
          <w:b/>
          <w:kern w:val="0"/>
          <w:sz w:val="24"/>
        </w:rPr>
      </w:pPr>
      <w:r>
        <w:rPr>
          <w:rFonts w:hint="eastAsia"/>
          <w:b/>
          <w:kern w:val="0"/>
          <w:sz w:val="24"/>
        </w:rPr>
        <w:t>表3-2  突泉县客运量预测</w:t>
      </w:r>
    </w:p>
    <w:tbl>
      <w:tblPr>
        <w:tblStyle w:val="1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0"/>
        <w:gridCol w:w="2842"/>
      </w:tblGrid>
      <w:tr w14:paraId="65845D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60CA40A3">
            <w:pPr>
              <w:spacing w:line="360" w:lineRule="auto"/>
              <w:jc w:val="center"/>
              <w:rPr>
                <w:rFonts w:ascii="等线" w:hAnsi="等线" w:eastAsia="等线" w:cs="等线"/>
                <w:sz w:val="24"/>
              </w:rPr>
            </w:pPr>
            <w:r>
              <w:rPr>
                <w:rFonts w:hint="eastAsia" w:ascii="等线" w:hAnsi="等线" w:eastAsia="等线" w:cs="等线"/>
                <w:sz w:val="24"/>
              </w:rPr>
              <w:t>年份</w:t>
            </w:r>
          </w:p>
        </w:tc>
        <w:tc>
          <w:tcPr>
            <w:tcW w:w="2840" w:type="dxa"/>
            <w:vAlign w:val="center"/>
          </w:tcPr>
          <w:p w14:paraId="59EAFD8D">
            <w:pPr>
              <w:spacing w:line="360" w:lineRule="auto"/>
              <w:jc w:val="center"/>
              <w:rPr>
                <w:rFonts w:ascii="等线" w:hAnsi="等线" w:eastAsia="等线" w:cs="等线"/>
                <w:sz w:val="24"/>
              </w:rPr>
            </w:pPr>
            <w:r>
              <w:rPr>
                <w:rFonts w:hint="eastAsia" w:ascii="等线" w:hAnsi="等线" w:eastAsia="等线" w:cs="等线"/>
                <w:sz w:val="24"/>
              </w:rPr>
              <w:t>2025</w:t>
            </w:r>
          </w:p>
        </w:tc>
        <w:tc>
          <w:tcPr>
            <w:tcW w:w="2842" w:type="dxa"/>
            <w:vAlign w:val="center"/>
          </w:tcPr>
          <w:p w14:paraId="54B33FEB">
            <w:pPr>
              <w:spacing w:line="360" w:lineRule="auto"/>
              <w:jc w:val="center"/>
              <w:rPr>
                <w:rFonts w:ascii="等线" w:hAnsi="等线" w:eastAsia="等线" w:cs="等线"/>
                <w:sz w:val="24"/>
              </w:rPr>
            </w:pPr>
            <w:r>
              <w:rPr>
                <w:rFonts w:hint="eastAsia" w:ascii="等线" w:hAnsi="等线" w:eastAsia="等线" w:cs="等线"/>
                <w:sz w:val="24"/>
              </w:rPr>
              <w:t>2030</w:t>
            </w:r>
          </w:p>
        </w:tc>
      </w:tr>
      <w:tr w14:paraId="24DB81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730389DF">
            <w:pPr>
              <w:spacing w:line="360" w:lineRule="auto"/>
              <w:jc w:val="center"/>
              <w:rPr>
                <w:rFonts w:ascii="等线" w:hAnsi="等线" w:eastAsia="等线" w:cs="等线"/>
                <w:sz w:val="24"/>
              </w:rPr>
            </w:pPr>
            <w:r>
              <w:rPr>
                <w:rFonts w:hint="eastAsia" w:ascii="等线" w:hAnsi="等线" w:eastAsia="等线" w:cs="等线"/>
                <w:sz w:val="24"/>
              </w:rPr>
              <w:t>预测值（万人）</w:t>
            </w:r>
          </w:p>
        </w:tc>
        <w:tc>
          <w:tcPr>
            <w:tcW w:w="2840" w:type="dxa"/>
            <w:vAlign w:val="center"/>
          </w:tcPr>
          <w:p w14:paraId="5EC0E0F7">
            <w:pPr>
              <w:spacing w:line="360" w:lineRule="auto"/>
              <w:jc w:val="center"/>
              <w:rPr>
                <w:rFonts w:ascii="等线" w:hAnsi="等线" w:eastAsia="等线" w:cs="等线"/>
                <w:sz w:val="24"/>
              </w:rPr>
            </w:pPr>
            <w:r>
              <w:rPr>
                <w:rFonts w:hint="eastAsia" w:ascii="等线" w:hAnsi="等线" w:eastAsia="等线" w:cs="等线"/>
                <w:sz w:val="24"/>
              </w:rPr>
              <w:t>433.6</w:t>
            </w:r>
          </w:p>
        </w:tc>
        <w:tc>
          <w:tcPr>
            <w:tcW w:w="2842" w:type="dxa"/>
            <w:vAlign w:val="center"/>
          </w:tcPr>
          <w:p w14:paraId="49A40C72">
            <w:pPr>
              <w:spacing w:line="360" w:lineRule="auto"/>
              <w:jc w:val="center"/>
              <w:rPr>
                <w:rFonts w:ascii="等线" w:hAnsi="等线" w:eastAsia="等线" w:cs="等线"/>
                <w:sz w:val="24"/>
              </w:rPr>
            </w:pPr>
            <w:r>
              <w:rPr>
                <w:rFonts w:hint="eastAsia" w:ascii="等线" w:hAnsi="等线" w:eastAsia="等线" w:cs="等线"/>
                <w:sz w:val="24"/>
              </w:rPr>
              <w:t>581.6</w:t>
            </w:r>
          </w:p>
        </w:tc>
      </w:tr>
    </w:tbl>
    <w:p w14:paraId="083035A6">
      <w:pPr>
        <w:spacing w:line="360" w:lineRule="auto"/>
        <w:ind w:firstLine="560" w:firstLineChars="200"/>
        <w:rPr>
          <w:rFonts w:eastAsia="仿宋_GB2312"/>
          <w:sz w:val="28"/>
          <w:szCs w:val="28"/>
        </w:rPr>
      </w:pPr>
      <w:r>
        <w:rPr>
          <w:rFonts w:hint="eastAsia" w:eastAsia="仿宋_GB2312"/>
          <w:sz w:val="28"/>
          <w:szCs w:val="28"/>
        </w:rPr>
        <w:t>（2）回归分析法</w:t>
      </w:r>
    </w:p>
    <w:p w14:paraId="6919E82E">
      <w:pPr>
        <w:spacing w:line="360" w:lineRule="auto"/>
        <w:ind w:firstLine="560" w:firstLineChars="200"/>
        <w:rPr>
          <w:rFonts w:eastAsia="仿宋_GB2312"/>
          <w:sz w:val="28"/>
          <w:szCs w:val="28"/>
        </w:rPr>
      </w:pPr>
      <w:r>
        <w:rPr>
          <w:rFonts w:hint="eastAsia" w:eastAsia="仿宋_GB2312"/>
          <w:sz w:val="28"/>
          <w:szCs w:val="28"/>
        </w:rPr>
        <w:t>客运量的发展水平与地区生产总值、人口等因素密切相关，通过对历史数据做相关性分析，突泉县全社会客运量与地区生产总值具有较强的相关性，相关性在90%以上。因此，客运量回归分析采用地区生产总值作为自变量，建立</w:t>
      </w:r>
      <m:oMath>
        <m:r>
          <m:rPr/>
          <w:rPr>
            <w:rFonts w:ascii="Cambria Math" w:eastAsia="仿宋_GB2312"/>
            <w:sz w:val="28"/>
            <w:szCs w:val="28"/>
          </w:rPr>
          <m:t>y=5.823 x−276.31</m:t>
        </m:r>
        <m:r>
          <m:rPr/>
          <w:rPr>
            <w:rFonts w:hint="eastAsia" w:ascii="Cambria Math" w:eastAsia="仿宋_GB2312"/>
            <w:sz w:val="28"/>
            <w:szCs w:val="28"/>
          </w:rPr>
          <m:t>2</m:t>
        </m:r>
      </m:oMath>
      <w:r>
        <w:rPr>
          <w:rFonts w:hint="eastAsia" w:eastAsia="仿宋_GB2312"/>
          <w:sz w:val="28"/>
          <w:szCs w:val="28"/>
        </w:rPr>
        <w:t>回归模型，预测未来特征年的全社会客运量，结果见表。</w:t>
      </w:r>
    </w:p>
    <w:p w14:paraId="2E20E87A">
      <w:pPr>
        <w:spacing w:line="360" w:lineRule="auto"/>
        <w:jc w:val="center"/>
        <w:rPr>
          <w:b/>
          <w:kern w:val="0"/>
          <w:sz w:val="24"/>
        </w:rPr>
      </w:pPr>
      <w:r>
        <w:rPr>
          <w:rFonts w:hint="eastAsia"/>
          <w:b/>
          <w:kern w:val="0"/>
          <w:sz w:val="24"/>
        </w:rPr>
        <w:t>表3-3  突泉县客运量预测</w:t>
      </w:r>
    </w:p>
    <w:tbl>
      <w:tblPr>
        <w:tblStyle w:val="1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0"/>
        <w:gridCol w:w="2842"/>
      </w:tblGrid>
      <w:tr w14:paraId="0B6778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 w:hRule="atLeast"/>
        </w:trPr>
        <w:tc>
          <w:tcPr>
            <w:tcW w:w="2840" w:type="dxa"/>
            <w:vAlign w:val="center"/>
          </w:tcPr>
          <w:p w14:paraId="58348001">
            <w:pPr>
              <w:spacing w:line="360" w:lineRule="auto"/>
              <w:jc w:val="center"/>
              <w:rPr>
                <w:rFonts w:ascii="等线" w:hAnsi="等线" w:eastAsia="等线" w:cs="等线"/>
                <w:sz w:val="24"/>
              </w:rPr>
            </w:pPr>
            <w:r>
              <w:rPr>
                <w:rFonts w:hint="eastAsia" w:ascii="等线" w:hAnsi="等线" w:eastAsia="等线" w:cs="等线"/>
                <w:sz w:val="24"/>
              </w:rPr>
              <w:t>年份</w:t>
            </w:r>
          </w:p>
        </w:tc>
        <w:tc>
          <w:tcPr>
            <w:tcW w:w="2840" w:type="dxa"/>
            <w:vAlign w:val="center"/>
          </w:tcPr>
          <w:p w14:paraId="03B75E8A">
            <w:pPr>
              <w:spacing w:line="360" w:lineRule="auto"/>
              <w:jc w:val="center"/>
              <w:rPr>
                <w:rFonts w:ascii="等线" w:hAnsi="等线" w:eastAsia="等线" w:cs="等线"/>
                <w:sz w:val="24"/>
              </w:rPr>
            </w:pPr>
            <w:r>
              <w:rPr>
                <w:rFonts w:hint="eastAsia" w:ascii="等线" w:hAnsi="等线" w:eastAsia="等线" w:cs="等线"/>
                <w:sz w:val="24"/>
              </w:rPr>
              <w:t>2025</w:t>
            </w:r>
          </w:p>
        </w:tc>
        <w:tc>
          <w:tcPr>
            <w:tcW w:w="2842" w:type="dxa"/>
            <w:vAlign w:val="center"/>
          </w:tcPr>
          <w:p w14:paraId="5BD861FC">
            <w:pPr>
              <w:spacing w:line="360" w:lineRule="auto"/>
              <w:jc w:val="center"/>
              <w:rPr>
                <w:rFonts w:ascii="等线" w:hAnsi="等线" w:eastAsia="等线" w:cs="等线"/>
                <w:sz w:val="24"/>
              </w:rPr>
            </w:pPr>
            <w:r>
              <w:rPr>
                <w:rFonts w:hint="eastAsia" w:ascii="等线" w:hAnsi="等线" w:eastAsia="等线" w:cs="等线"/>
                <w:sz w:val="24"/>
              </w:rPr>
              <w:t>2030</w:t>
            </w:r>
          </w:p>
        </w:tc>
      </w:tr>
      <w:tr w14:paraId="65BBDC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1FA76EDB">
            <w:pPr>
              <w:spacing w:line="360" w:lineRule="auto"/>
              <w:jc w:val="center"/>
              <w:rPr>
                <w:rFonts w:ascii="等线" w:hAnsi="等线" w:eastAsia="等线" w:cs="等线"/>
                <w:sz w:val="24"/>
              </w:rPr>
            </w:pPr>
            <w:r>
              <w:rPr>
                <w:rFonts w:hint="eastAsia" w:ascii="等线" w:hAnsi="等线" w:eastAsia="等线" w:cs="等线"/>
                <w:sz w:val="24"/>
              </w:rPr>
              <w:t>预测值（万人）</w:t>
            </w:r>
          </w:p>
        </w:tc>
        <w:tc>
          <w:tcPr>
            <w:tcW w:w="2840" w:type="dxa"/>
            <w:vAlign w:val="center"/>
          </w:tcPr>
          <w:p w14:paraId="67E71620">
            <w:pPr>
              <w:spacing w:line="360" w:lineRule="auto"/>
              <w:jc w:val="center"/>
              <w:rPr>
                <w:rFonts w:ascii="等线" w:hAnsi="等线" w:eastAsia="等线" w:cs="等线"/>
                <w:sz w:val="24"/>
              </w:rPr>
            </w:pPr>
            <w:r>
              <w:rPr>
                <w:rFonts w:hint="eastAsia" w:ascii="等线" w:hAnsi="等线" w:eastAsia="等线" w:cs="等线"/>
                <w:sz w:val="24"/>
              </w:rPr>
              <w:t>281.53</w:t>
            </w:r>
          </w:p>
        </w:tc>
        <w:tc>
          <w:tcPr>
            <w:tcW w:w="2842" w:type="dxa"/>
            <w:vAlign w:val="center"/>
          </w:tcPr>
          <w:p w14:paraId="72130B94">
            <w:pPr>
              <w:spacing w:line="360" w:lineRule="auto"/>
              <w:jc w:val="center"/>
              <w:rPr>
                <w:rFonts w:ascii="等线" w:hAnsi="等线" w:eastAsia="等线" w:cs="等线"/>
                <w:sz w:val="24"/>
              </w:rPr>
            </w:pPr>
            <w:r>
              <w:rPr>
                <w:rFonts w:hint="eastAsia" w:ascii="等线" w:hAnsi="等线" w:eastAsia="等线" w:cs="等线"/>
                <w:sz w:val="24"/>
              </w:rPr>
              <w:t>429.12</w:t>
            </w:r>
          </w:p>
        </w:tc>
      </w:tr>
    </w:tbl>
    <w:p w14:paraId="325D6EA1">
      <w:pPr>
        <w:numPr>
          <w:ilvl w:val="0"/>
          <w:numId w:val="7"/>
        </w:numPr>
        <w:spacing w:line="360" w:lineRule="auto"/>
        <w:ind w:firstLine="560" w:firstLineChars="200"/>
        <w:rPr>
          <w:rFonts w:eastAsia="仿宋_GB2312"/>
          <w:sz w:val="28"/>
          <w:szCs w:val="28"/>
        </w:rPr>
      </w:pPr>
      <w:r>
        <w:rPr>
          <w:rFonts w:hint="eastAsia" w:eastAsia="仿宋_GB2312"/>
          <w:sz w:val="28"/>
          <w:szCs w:val="28"/>
        </w:rPr>
        <w:t>灰色预测模型</w:t>
      </w:r>
    </w:p>
    <w:p w14:paraId="23624193">
      <w:pPr>
        <w:spacing w:line="360" w:lineRule="auto"/>
        <w:ind w:firstLine="560" w:firstLineChars="200"/>
        <w:rPr>
          <w:rFonts w:eastAsia="仿宋_GB2312"/>
          <w:sz w:val="28"/>
          <w:szCs w:val="28"/>
        </w:rPr>
      </w:pPr>
      <w:r>
        <w:rPr>
          <w:rFonts w:hint="eastAsia" w:eastAsia="仿宋_GB2312"/>
          <w:sz w:val="28"/>
          <w:szCs w:val="28"/>
        </w:rPr>
        <w:t>灰色系统介于白色和黑色之间，灰色系统内的一部分信息是已知的，另一部分信息是未知的，系统内各因素间有不确定的关系灰色预测通过鉴别系统因素之间发展趋势的相异程度，即进行关联分析，并对原始数据进行生成处理来寻找系统变动的规律，生成有较强规律性的数据序列，然后建立相应的微分方程模型，从而预测事物未来发展趋势的状况。尽管客观表象复杂，但总是有整体功能的，因此必然蕴含某种内在规律。关键在于如何选择适当的方式去挖掘和利用它。</w:t>
      </w:r>
    </w:p>
    <w:p w14:paraId="68F74988">
      <w:pPr>
        <w:spacing w:line="360" w:lineRule="auto"/>
        <w:ind w:firstLine="560" w:firstLineChars="200"/>
        <w:rPr>
          <w:rFonts w:eastAsia="仿宋_GB2312"/>
          <w:sz w:val="28"/>
          <w:szCs w:val="28"/>
        </w:rPr>
      </w:pPr>
      <w:r>
        <w:rPr>
          <w:rFonts w:hint="eastAsia" w:eastAsia="仿宋_GB2312"/>
          <w:sz w:val="28"/>
          <w:szCs w:val="28"/>
        </w:rPr>
        <w:t>突泉县货运量基础数据不足，发展趋势不明显，关联程度并不直观，此系统可作为一个灰色系统，并对原始数据的整理来寻求其变化规律，通过某种生成弱化其随机性，显现其规律性。因此可以采用灰色预测模型。</w:t>
      </w:r>
    </w:p>
    <w:p w14:paraId="4FF56EC0">
      <w:pPr>
        <w:spacing w:line="360" w:lineRule="auto"/>
        <w:ind w:firstLine="560" w:firstLineChars="200"/>
        <w:rPr>
          <w:rFonts w:eastAsia="仿宋_GB2312"/>
          <w:color w:val="FF0000"/>
          <w:sz w:val="28"/>
          <w:szCs w:val="28"/>
        </w:rPr>
      </w:pPr>
      <w:r>
        <w:rPr>
          <w:rFonts w:hint="eastAsia" w:eastAsia="仿宋_GB2312"/>
          <w:sz w:val="28"/>
          <w:szCs w:val="28"/>
        </w:rPr>
        <w:t>根据2010-2014年突泉县客运量的基础数据分析预测，采用灰色预测模型得到此系统的灰色序列如下：</w:t>
      </w:r>
    </w:p>
    <w:p w14:paraId="2EA3CE5D">
      <w:pPr>
        <w:autoSpaceDE w:val="0"/>
        <w:autoSpaceDN w:val="0"/>
        <w:adjustRightInd w:val="0"/>
        <w:spacing w:line="360" w:lineRule="auto"/>
        <w:ind w:firstLine="516"/>
        <w:jc w:val="left"/>
        <w:rPr>
          <w:rFonts w:ascii="Courier New" w:hAnsi="Courier New" w:cs="Courier New" w:eastAsiaTheme="minorEastAsia"/>
          <w:color w:val="000000"/>
          <w:kern w:val="0"/>
          <w:sz w:val="28"/>
          <w:szCs w:val="28"/>
        </w:rPr>
      </w:pPr>
      <m:oMath>
        <m:sSup>
          <m:sSupPr>
            <m:ctrlPr>
              <w:rPr>
                <w:rFonts w:ascii="Cambria Math" w:hAnsi="Cambria Math" w:cs="Courier New" w:eastAsiaTheme="minorEastAsia"/>
                <w:i/>
                <w:color w:val="000000"/>
                <w:kern w:val="0"/>
                <w:sz w:val="28"/>
                <w:szCs w:val="28"/>
              </w:rPr>
            </m:ctrlPr>
          </m:sSupPr>
          <m:e>
            <m:acc>
              <m:accPr>
                <m:ctrlPr>
                  <w:rPr>
                    <w:rFonts w:ascii="Cambria Math" w:hAnsi="Cambria Math" w:cs="Courier New" w:eastAsiaTheme="minorEastAsia"/>
                    <w:i/>
                    <w:color w:val="000000"/>
                    <w:kern w:val="0"/>
                    <w:sz w:val="28"/>
                    <w:szCs w:val="28"/>
                  </w:rPr>
                </m:ctrlPr>
              </m:accPr>
              <m:e>
                <m:r>
                  <m:rPr/>
                  <w:rPr>
                    <w:rFonts w:ascii="Cambria Math" w:hAnsi="Cambria Math" w:cs="Courier New" w:eastAsiaTheme="minorEastAsia"/>
                    <w:color w:val="000000"/>
                    <w:kern w:val="0"/>
                    <w:sz w:val="28"/>
                    <w:szCs w:val="28"/>
                  </w:rPr>
                  <m:t>x</m:t>
                </m:r>
                <m:ctrlPr>
                  <w:rPr>
                    <w:rFonts w:ascii="Cambria Math" w:hAnsi="Cambria Math" w:cs="Courier New" w:eastAsiaTheme="minorEastAsia"/>
                    <w:i/>
                    <w:color w:val="000000"/>
                    <w:kern w:val="0"/>
                    <w:sz w:val="28"/>
                    <w:szCs w:val="28"/>
                  </w:rPr>
                </m:ctrlPr>
              </m:e>
            </m:acc>
            <m:ctrlPr>
              <w:rPr>
                <w:rFonts w:ascii="Cambria Math" w:hAnsi="Cambria Math" w:cs="Courier New" w:eastAsiaTheme="minorEastAsia"/>
                <w:i/>
                <w:color w:val="000000"/>
                <w:kern w:val="0"/>
                <w:sz w:val="28"/>
                <w:szCs w:val="28"/>
              </w:rPr>
            </m:ctrlPr>
          </m:e>
          <m:sup>
            <m:d>
              <m:dPr>
                <m:ctrlPr>
                  <w:rPr>
                    <w:rFonts w:ascii="Cambria Math" w:hAnsi="Cambria Math" w:cs="Courier New" w:eastAsiaTheme="minorEastAsia"/>
                    <w:i/>
                    <w:color w:val="000000"/>
                    <w:kern w:val="0"/>
                    <w:sz w:val="28"/>
                    <w:szCs w:val="28"/>
                  </w:rPr>
                </m:ctrlPr>
              </m:dPr>
              <m:e>
                <m:r>
                  <m:rPr/>
                  <w:rPr>
                    <w:rFonts w:ascii="Cambria Math" w:hAnsi="Cambria Math" w:cs="Courier New" w:eastAsiaTheme="minorEastAsia"/>
                    <w:color w:val="000000"/>
                    <w:kern w:val="0"/>
                    <w:sz w:val="28"/>
                    <w:szCs w:val="28"/>
                  </w:rPr>
                  <m:t>1</m:t>
                </m:r>
                <m:ctrlPr>
                  <w:rPr>
                    <w:rFonts w:ascii="Cambria Math" w:hAnsi="Cambria Math" w:cs="Courier New" w:eastAsiaTheme="minorEastAsia"/>
                    <w:i/>
                    <w:color w:val="000000"/>
                    <w:kern w:val="0"/>
                    <w:sz w:val="28"/>
                    <w:szCs w:val="28"/>
                  </w:rPr>
                </m:ctrlPr>
              </m:e>
            </m:d>
            <m:ctrlPr>
              <w:rPr>
                <w:rFonts w:ascii="Cambria Math" w:hAnsi="Cambria Math" w:cs="Courier New" w:eastAsiaTheme="minorEastAsia"/>
                <w:i/>
                <w:color w:val="000000"/>
                <w:kern w:val="0"/>
                <w:sz w:val="28"/>
                <w:szCs w:val="28"/>
              </w:rPr>
            </m:ctrlPr>
          </m:sup>
        </m:sSup>
        <m:d>
          <m:dPr>
            <m:ctrlPr>
              <w:rPr>
                <w:rFonts w:ascii="Cambria Math" w:hAnsi="Cambria Math" w:cs="Courier New" w:eastAsiaTheme="minorEastAsia"/>
                <w:i/>
                <w:color w:val="000000"/>
                <w:kern w:val="0"/>
                <w:sz w:val="28"/>
                <w:szCs w:val="28"/>
              </w:rPr>
            </m:ctrlPr>
          </m:dPr>
          <m:e>
            <m:r>
              <m:rPr/>
              <w:rPr>
                <w:rFonts w:ascii="Cambria Math" w:hAnsi="Cambria Math" w:cs="Courier New" w:eastAsiaTheme="minorEastAsia"/>
                <w:color w:val="000000"/>
                <w:kern w:val="0"/>
                <w:sz w:val="28"/>
                <w:szCs w:val="28"/>
              </w:rPr>
              <m:t>k+1</m:t>
            </m:r>
            <m:ctrlPr>
              <w:rPr>
                <w:rFonts w:ascii="Cambria Math" w:hAnsi="Cambria Math" w:cs="Courier New" w:eastAsiaTheme="minorEastAsia"/>
                <w:i/>
                <w:color w:val="000000"/>
                <w:kern w:val="0"/>
                <w:sz w:val="28"/>
                <w:szCs w:val="28"/>
              </w:rPr>
            </m:ctrlPr>
          </m:e>
        </m:d>
        <m:r>
          <m:rPr/>
          <w:rPr>
            <w:rFonts w:ascii="Cambria Math" w:hAnsi="Cambria Math" w:cs="Courier New" w:eastAsiaTheme="minorEastAsia"/>
            <w:color w:val="000000"/>
            <w:kern w:val="0"/>
            <w:sz w:val="28"/>
            <w:szCs w:val="28"/>
          </w:rPr>
          <m:t>=</m:t>
        </m:r>
        <m:d>
          <m:dPr>
            <m:ctrlPr>
              <w:rPr>
                <w:rFonts w:ascii="Cambria Math" w:hAnsi="Cambria Math" w:cs="Courier New" w:eastAsiaTheme="minorEastAsia"/>
                <w:i/>
                <w:color w:val="000000"/>
                <w:kern w:val="0"/>
                <w:sz w:val="28"/>
                <w:szCs w:val="28"/>
              </w:rPr>
            </m:ctrlPr>
          </m:dPr>
          <m:e>
            <m:sSup>
              <m:sSupPr>
                <m:ctrlPr>
                  <w:rPr>
                    <w:rFonts w:ascii="Cambria Math" w:hAnsi="Cambria Math" w:cs="Courier New" w:eastAsiaTheme="minorEastAsia"/>
                    <w:i/>
                    <w:color w:val="000000"/>
                    <w:kern w:val="0"/>
                    <w:sz w:val="28"/>
                    <w:szCs w:val="28"/>
                  </w:rPr>
                </m:ctrlPr>
              </m:sSupPr>
              <m:e>
                <m:r>
                  <m:rPr/>
                  <w:rPr>
                    <w:rFonts w:ascii="Cambria Math" w:hAnsi="Cambria Math" w:cs="Courier New" w:eastAsiaTheme="minorEastAsia"/>
                    <w:color w:val="000000"/>
                    <w:kern w:val="0"/>
                    <w:sz w:val="28"/>
                    <w:szCs w:val="28"/>
                  </w:rPr>
                  <m:t>x</m:t>
                </m:r>
                <m:ctrlPr>
                  <w:rPr>
                    <w:rFonts w:ascii="Cambria Math" w:hAnsi="Cambria Math" w:cs="Courier New" w:eastAsiaTheme="minorEastAsia"/>
                    <w:i/>
                    <w:color w:val="000000"/>
                    <w:kern w:val="0"/>
                    <w:sz w:val="28"/>
                    <w:szCs w:val="28"/>
                  </w:rPr>
                </m:ctrlPr>
              </m:e>
              <m:sup>
                <m:d>
                  <m:dPr>
                    <m:ctrlPr>
                      <w:rPr>
                        <w:rFonts w:ascii="Cambria Math" w:hAnsi="Cambria Math" w:cs="Courier New" w:eastAsiaTheme="minorEastAsia"/>
                        <w:i/>
                        <w:color w:val="000000"/>
                        <w:kern w:val="0"/>
                        <w:sz w:val="28"/>
                        <w:szCs w:val="28"/>
                      </w:rPr>
                    </m:ctrlPr>
                  </m:dPr>
                  <m:e>
                    <m:r>
                      <m:rPr/>
                      <w:rPr>
                        <w:rFonts w:ascii="Cambria Math" w:hAnsi="Cambria Math" w:cs="Courier New" w:eastAsiaTheme="minorEastAsia"/>
                        <w:color w:val="000000"/>
                        <w:kern w:val="0"/>
                        <w:sz w:val="28"/>
                        <w:szCs w:val="28"/>
                      </w:rPr>
                      <m:t>0</m:t>
                    </m:r>
                    <m:ctrlPr>
                      <w:rPr>
                        <w:rFonts w:ascii="Cambria Math" w:hAnsi="Cambria Math" w:cs="Courier New" w:eastAsiaTheme="minorEastAsia"/>
                        <w:i/>
                        <w:color w:val="000000"/>
                        <w:kern w:val="0"/>
                        <w:sz w:val="28"/>
                        <w:szCs w:val="28"/>
                      </w:rPr>
                    </m:ctrlPr>
                  </m:e>
                </m:d>
                <m:ctrlPr>
                  <w:rPr>
                    <w:rFonts w:ascii="Cambria Math" w:hAnsi="Cambria Math" w:cs="Courier New" w:eastAsiaTheme="minorEastAsia"/>
                    <w:i/>
                    <w:color w:val="000000"/>
                    <w:kern w:val="0"/>
                    <w:sz w:val="28"/>
                    <w:szCs w:val="28"/>
                  </w:rPr>
                </m:ctrlPr>
              </m:sup>
            </m:sSup>
            <m:d>
              <m:dPr>
                <m:ctrlPr>
                  <w:rPr>
                    <w:rFonts w:ascii="Cambria Math" w:hAnsi="Cambria Math" w:cs="Courier New" w:eastAsiaTheme="minorEastAsia"/>
                    <w:i/>
                    <w:color w:val="000000"/>
                    <w:kern w:val="0"/>
                    <w:sz w:val="28"/>
                    <w:szCs w:val="28"/>
                  </w:rPr>
                </m:ctrlPr>
              </m:dPr>
              <m:e>
                <m:r>
                  <m:rPr/>
                  <w:rPr>
                    <w:rFonts w:ascii="Cambria Math" w:hAnsi="Cambria Math" w:cs="Courier New" w:eastAsiaTheme="minorEastAsia"/>
                    <w:color w:val="000000"/>
                    <w:kern w:val="0"/>
                    <w:sz w:val="28"/>
                    <w:szCs w:val="28"/>
                  </w:rPr>
                  <m:t>1</m:t>
                </m:r>
                <m:ctrlPr>
                  <w:rPr>
                    <w:rFonts w:ascii="Cambria Math" w:hAnsi="Cambria Math" w:cs="Courier New" w:eastAsiaTheme="minorEastAsia"/>
                    <w:i/>
                    <w:color w:val="000000"/>
                    <w:kern w:val="0"/>
                    <w:sz w:val="28"/>
                    <w:szCs w:val="28"/>
                  </w:rPr>
                </m:ctrlPr>
              </m:e>
            </m:d>
            <m:r>
              <m:rPr/>
              <w:rPr>
                <w:rFonts w:ascii="Cambria Math" w:hAnsi="Cambria Math" w:cs="Courier New" w:eastAsiaTheme="minorEastAsia"/>
                <w:color w:val="000000"/>
                <w:kern w:val="0"/>
                <w:sz w:val="28"/>
                <w:szCs w:val="28"/>
              </w:rPr>
              <m:t>+</m:t>
            </m:r>
            <m:f>
              <m:fPr>
                <m:ctrlPr>
                  <w:rPr>
                    <w:rFonts w:ascii="Cambria Math" w:hAnsi="Cambria Math" w:cs="Courier New" w:eastAsiaTheme="minorEastAsia"/>
                    <w:i/>
                    <w:color w:val="000000"/>
                    <w:kern w:val="0"/>
                    <w:sz w:val="28"/>
                    <w:szCs w:val="28"/>
                  </w:rPr>
                </m:ctrlPr>
              </m:fPr>
              <m:num>
                <m:r>
                  <m:rPr/>
                  <w:rPr>
                    <w:rFonts w:hint="eastAsia" w:ascii="Cambria Math" w:hAnsi="Cambria Math" w:cs="Courier New" w:eastAsiaTheme="minorEastAsia"/>
                    <w:color w:val="000000"/>
                    <w:kern w:val="0"/>
                    <w:sz w:val="28"/>
                    <w:szCs w:val="28"/>
                  </w:rPr>
                  <m:t>67.3772</m:t>
                </m:r>
                <m:ctrlPr>
                  <w:rPr>
                    <w:rFonts w:ascii="Cambria Math" w:hAnsi="Cambria Math" w:cs="Courier New" w:eastAsiaTheme="minorEastAsia"/>
                    <w:i/>
                    <w:color w:val="000000"/>
                    <w:kern w:val="0"/>
                    <w:sz w:val="28"/>
                    <w:szCs w:val="28"/>
                  </w:rPr>
                </m:ctrlPr>
              </m:num>
              <m:den>
                <m:r>
                  <m:rPr/>
                  <w:rPr>
                    <w:rFonts w:ascii="Cambria Math" w:hAnsi="Cambria Math" w:cs="Courier New" w:eastAsiaTheme="minorEastAsia"/>
                    <w:color w:val="000000"/>
                    <w:kern w:val="0"/>
                    <w:sz w:val="28"/>
                    <w:szCs w:val="28"/>
                  </w:rPr>
                  <m:t xml:space="preserve"> </m:t>
                </m:r>
                <m:r>
                  <m:rPr/>
                  <w:rPr>
                    <w:rFonts w:hint="eastAsia" w:ascii="Cambria Math" w:hAnsi="Cambria Math" w:cs="Courier New" w:eastAsiaTheme="minorEastAsia"/>
                    <w:color w:val="000000"/>
                    <w:kern w:val="0"/>
                    <w:sz w:val="28"/>
                    <w:szCs w:val="28"/>
                  </w:rPr>
                  <m:t>0.2388</m:t>
                </m:r>
                <m:ctrlPr>
                  <w:rPr>
                    <w:rFonts w:ascii="Cambria Math" w:hAnsi="Cambria Math" w:cs="Courier New" w:eastAsiaTheme="minorEastAsia"/>
                    <w:i/>
                    <w:color w:val="000000"/>
                    <w:kern w:val="0"/>
                    <w:sz w:val="28"/>
                    <w:szCs w:val="28"/>
                  </w:rPr>
                </m:ctrlPr>
              </m:den>
            </m:f>
            <m:ctrlPr>
              <w:rPr>
                <w:rFonts w:ascii="Cambria Math" w:hAnsi="Cambria Math" w:cs="Courier New" w:eastAsiaTheme="minorEastAsia"/>
                <w:i/>
                <w:color w:val="000000"/>
                <w:kern w:val="0"/>
                <w:sz w:val="28"/>
                <w:szCs w:val="28"/>
              </w:rPr>
            </m:ctrlPr>
          </m:e>
        </m:d>
        <m:sSup>
          <m:sSupPr>
            <m:ctrlPr>
              <w:rPr>
                <w:rFonts w:ascii="Cambria Math" w:hAnsi="Cambria Math" w:cs="Courier New" w:eastAsiaTheme="minorEastAsia"/>
                <w:i/>
                <w:color w:val="000000"/>
                <w:kern w:val="0"/>
                <w:sz w:val="28"/>
                <w:szCs w:val="28"/>
              </w:rPr>
            </m:ctrlPr>
          </m:sSupPr>
          <m:e>
            <m:r>
              <m:rPr/>
              <w:rPr>
                <w:rFonts w:ascii="Cambria Math" w:hAnsi="Cambria Math" w:cs="Courier New" w:eastAsiaTheme="minorEastAsia"/>
                <w:color w:val="000000"/>
                <w:kern w:val="0"/>
                <w:sz w:val="28"/>
                <w:szCs w:val="28"/>
              </w:rPr>
              <m:t>e</m:t>
            </m:r>
            <m:ctrlPr>
              <w:rPr>
                <w:rFonts w:ascii="Cambria Math" w:hAnsi="Cambria Math" w:cs="Courier New" w:eastAsiaTheme="minorEastAsia"/>
                <w:i/>
                <w:color w:val="000000"/>
                <w:kern w:val="0"/>
                <w:sz w:val="28"/>
                <w:szCs w:val="28"/>
              </w:rPr>
            </m:ctrlPr>
          </m:e>
          <m:sup>
            <m:r>
              <m:rPr/>
              <w:rPr>
                <w:rFonts w:ascii="Cambria Math" w:hAnsi="Cambria Math" w:cs="Courier New" w:eastAsiaTheme="minorEastAsia"/>
                <w:color w:val="000000"/>
                <w:kern w:val="0"/>
                <w:sz w:val="28"/>
                <w:szCs w:val="28"/>
              </w:rPr>
              <m:t>0.1648k</m:t>
            </m:r>
            <m:ctrlPr>
              <w:rPr>
                <w:rFonts w:ascii="Cambria Math" w:hAnsi="Cambria Math" w:cs="Courier New" w:eastAsiaTheme="minorEastAsia"/>
                <w:i/>
                <w:color w:val="000000"/>
                <w:kern w:val="0"/>
                <w:sz w:val="28"/>
                <w:szCs w:val="28"/>
              </w:rPr>
            </m:ctrlPr>
          </m:sup>
        </m:sSup>
        <m:r>
          <m:rPr/>
          <w:rPr>
            <w:rFonts w:ascii="Cambria Math" w:hAnsi="Cambria Math" w:cs="Courier New" w:eastAsiaTheme="minorEastAsia"/>
            <w:color w:val="000000"/>
            <w:kern w:val="0"/>
            <w:sz w:val="28"/>
            <w:szCs w:val="28"/>
          </w:rPr>
          <m:t>−</m:t>
        </m:r>
        <m:f>
          <m:fPr>
            <m:ctrlPr>
              <w:rPr>
                <w:rFonts w:ascii="Cambria Math" w:hAnsi="Cambria Math" w:cs="Courier New" w:eastAsiaTheme="minorEastAsia"/>
                <w:i/>
                <w:color w:val="000000"/>
                <w:kern w:val="0"/>
                <w:sz w:val="28"/>
                <w:szCs w:val="28"/>
              </w:rPr>
            </m:ctrlPr>
          </m:fPr>
          <m:num>
            <m:r>
              <m:rPr/>
              <w:rPr>
                <w:rFonts w:hint="eastAsia" w:ascii="Cambria Math" w:hAnsi="Cambria Math" w:cs="Courier New" w:eastAsiaTheme="minorEastAsia"/>
                <w:color w:val="000000"/>
                <w:kern w:val="0"/>
                <w:sz w:val="28"/>
                <w:szCs w:val="28"/>
              </w:rPr>
              <m:t>67.3772</m:t>
            </m:r>
            <m:ctrlPr>
              <w:rPr>
                <w:rFonts w:ascii="Cambria Math" w:hAnsi="Cambria Math" w:cs="Courier New" w:eastAsiaTheme="minorEastAsia"/>
                <w:i/>
                <w:color w:val="000000"/>
                <w:kern w:val="0"/>
                <w:sz w:val="28"/>
                <w:szCs w:val="28"/>
              </w:rPr>
            </m:ctrlPr>
          </m:num>
          <m:den>
            <m:r>
              <m:rPr/>
              <w:rPr>
                <w:rFonts w:ascii="Cambria Math" w:hAnsi="Cambria Math" w:cs="Courier New" w:eastAsiaTheme="minorEastAsia"/>
                <w:color w:val="000000"/>
                <w:kern w:val="0"/>
                <w:sz w:val="28"/>
                <w:szCs w:val="28"/>
              </w:rPr>
              <m:t xml:space="preserve"> </m:t>
            </m:r>
            <m:r>
              <m:rPr/>
              <w:rPr>
                <w:rFonts w:hint="eastAsia" w:ascii="Cambria Math" w:hAnsi="Cambria Math" w:cs="Courier New" w:eastAsiaTheme="minorEastAsia"/>
                <w:color w:val="000000"/>
                <w:kern w:val="0"/>
                <w:sz w:val="28"/>
                <w:szCs w:val="28"/>
              </w:rPr>
              <m:t>0.2388</m:t>
            </m:r>
            <m:ctrlPr>
              <w:rPr>
                <w:rFonts w:ascii="Cambria Math" w:hAnsi="Cambria Math" w:cs="Courier New" w:eastAsiaTheme="minorEastAsia"/>
                <w:i/>
                <w:color w:val="000000"/>
                <w:kern w:val="0"/>
                <w:sz w:val="28"/>
                <w:szCs w:val="28"/>
              </w:rPr>
            </m:ctrlPr>
          </m:den>
        </m:f>
        <m:r>
          <m:rPr>
            <m:sty m:val="p"/>
          </m:rPr>
          <w:rPr>
            <w:rFonts w:ascii="Cambria Math" w:hAnsi="Cambria Math" w:cs="Courier New" w:eastAsiaTheme="minorEastAsia"/>
            <w:color w:val="000000"/>
            <w:kern w:val="0"/>
            <w:sz w:val="28"/>
            <w:szCs w:val="28"/>
          </w:rPr>
          <m:t>,k=1</m:t>
        </m:r>
        <m:r>
          <m:rPr>
            <m:sty m:val="p"/>
          </m:rPr>
          <w:rPr>
            <w:rFonts w:hint="eastAsia" w:ascii="Cambria Math" w:hAnsi="Cambria Math" w:cs="Courier New" w:eastAsiaTheme="minorEastAsia"/>
            <w:color w:val="000000"/>
            <w:kern w:val="0"/>
            <w:sz w:val="28"/>
            <w:szCs w:val="28"/>
          </w:rPr>
          <m:t>,</m:t>
        </m:r>
        <m:r>
          <m:rPr>
            <m:sty m:val="p"/>
          </m:rPr>
          <w:rPr>
            <w:rFonts w:ascii="Cambria Math" w:hAnsi="Cambria Math" w:cs="Courier New" w:eastAsiaTheme="minorEastAsia"/>
            <w:color w:val="000000"/>
            <w:kern w:val="0"/>
            <w:sz w:val="28"/>
            <w:szCs w:val="28"/>
          </w:rPr>
          <m:t>2,…</m:t>
        </m:r>
        <m:r>
          <m:rPr>
            <m:sty m:val="p"/>
          </m:rPr>
          <w:rPr>
            <w:rFonts w:hint="eastAsia" w:ascii="Cambria Math" w:hAnsi="Cambria Math" w:cs="Courier New" w:eastAsiaTheme="minorEastAsia"/>
            <w:color w:val="000000"/>
            <w:kern w:val="0"/>
            <w:sz w:val="28"/>
            <w:szCs w:val="28"/>
          </w:rPr>
          <m:t>,</m:t>
        </m:r>
        <m:r>
          <m:rPr>
            <m:sty m:val="p"/>
          </m:rPr>
          <w:rPr>
            <w:rFonts w:ascii="Cambria Math" w:hAnsi="Cambria Math" w:cs="Courier New" w:eastAsiaTheme="minorEastAsia"/>
            <w:color w:val="000000"/>
            <w:kern w:val="0"/>
            <w:sz w:val="28"/>
            <w:szCs w:val="28"/>
          </w:rPr>
          <m:t>n−1</m:t>
        </m:r>
      </m:oMath>
      <w:r>
        <w:rPr>
          <w:rFonts w:hint="eastAsia" w:ascii="Courier New" w:hAnsi="Courier New" w:cs="Courier New" w:eastAsiaTheme="minorEastAsia"/>
          <w:color w:val="000000"/>
          <w:kern w:val="0"/>
          <w:sz w:val="28"/>
          <w:szCs w:val="28"/>
        </w:rPr>
        <w:t>，</w:t>
      </w:r>
    </w:p>
    <w:p w14:paraId="118F98AE">
      <w:pPr>
        <w:spacing w:line="360" w:lineRule="auto"/>
        <w:ind w:firstLine="560" w:firstLineChars="200"/>
        <w:rPr>
          <w:rFonts w:eastAsia="仿宋_GB2312"/>
          <w:sz w:val="28"/>
          <w:szCs w:val="28"/>
        </w:rPr>
      </w:pPr>
      <w:r>
        <w:rPr>
          <w:rFonts w:hint="eastAsia" w:eastAsia="仿宋_GB2312"/>
          <w:sz w:val="28"/>
          <w:szCs w:val="28"/>
        </w:rPr>
        <w:t>由时间响应函数及如下递推公式进行测算，并进行G</w:t>
      </w:r>
      <w:r>
        <w:rPr>
          <w:rFonts w:eastAsia="仿宋_GB2312"/>
          <w:sz w:val="28"/>
          <w:szCs w:val="28"/>
        </w:rPr>
        <w:t>M</w:t>
      </w:r>
      <w:r>
        <w:rPr>
          <w:rFonts w:hint="eastAsia" w:eastAsia="仿宋_GB2312"/>
          <w:sz w:val="28"/>
          <w:szCs w:val="28"/>
        </w:rPr>
        <w:t>模型的残差检验和级比偏差值检验，可以达到较高要求。</w:t>
      </w:r>
    </w:p>
    <w:p w14:paraId="1091E7FD">
      <w:pPr>
        <w:autoSpaceDE w:val="0"/>
        <w:autoSpaceDN w:val="0"/>
        <w:adjustRightInd w:val="0"/>
        <w:spacing w:line="360" w:lineRule="auto"/>
        <w:ind w:firstLine="516"/>
        <w:jc w:val="left"/>
        <w:rPr>
          <w:rFonts w:ascii="Courier New" w:hAnsi="Courier New" w:cs="Courier New" w:eastAsiaTheme="minorEastAsia"/>
          <w:color w:val="000000"/>
          <w:kern w:val="0"/>
          <w:sz w:val="28"/>
          <w:szCs w:val="28"/>
        </w:rPr>
      </w:pPr>
      <m:oMathPara>
        <m:oMath>
          <m:sSup>
            <m:sSupPr>
              <m:ctrlPr>
                <w:rPr>
                  <w:rFonts w:ascii="Cambria Math" w:hAnsi="Cambria Math" w:cs="Courier New" w:eastAsiaTheme="minorEastAsia"/>
                  <w:i/>
                  <w:color w:val="000000"/>
                  <w:kern w:val="0"/>
                  <w:sz w:val="28"/>
                  <w:szCs w:val="28"/>
                </w:rPr>
              </m:ctrlPr>
            </m:sSupPr>
            <m:e>
              <m:acc>
                <m:accPr>
                  <m:ctrlPr>
                    <w:rPr>
                      <w:rFonts w:ascii="Cambria Math" w:hAnsi="Cambria Math" w:cs="Courier New" w:eastAsiaTheme="minorEastAsia"/>
                      <w:i/>
                      <w:color w:val="000000"/>
                      <w:kern w:val="0"/>
                      <w:sz w:val="28"/>
                      <w:szCs w:val="28"/>
                    </w:rPr>
                  </m:ctrlPr>
                </m:accPr>
                <m:e>
                  <m:r>
                    <m:rPr/>
                    <w:rPr>
                      <w:rFonts w:ascii="Cambria Math" w:hAnsi="Cambria Math" w:cs="Courier New" w:eastAsiaTheme="minorEastAsia"/>
                      <w:color w:val="000000"/>
                      <w:kern w:val="0"/>
                      <w:sz w:val="28"/>
                      <w:szCs w:val="28"/>
                    </w:rPr>
                    <m:t>x</m:t>
                  </m:r>
                  <m:ctrlPr>
                    <w:rPr>
                      <w:rFonts w:ascii="Cambria Math" w:hAnsi="Cambria Math" w:cs="Courier New" w:eastAsiaTheme="minorEastAsia"/>
                      <w:i/>
                      <w:color w:val="000000"/>
                      <w:kern w:val="0"/>
                      <w:sz w:val="28"/>
                      <w:szCs w:val="28"/>
                    </w:rPr>
                  </m:ctrlPr>
                </m:e>
              </m:acc>
              <m:ctrlPr>
                <w:rPr>
                  <w:rFonts w:ascii="Cambria Math" w:hAnsi="Cambria Math" w:cs="Courier New" w:eastAsiaTheme="minorEastAsia"/>
                  <w:i/>
                  <w:color w:val="000000"/>
                  <w:kern w:val="0"/>
                  <w:sz w:val="28"/>
                  <w:szCs w:val="28"/>
                </w:rPr>
              </m:ctrlPr>
            </m:e>
            <m:sup>
              <m:d>
                <m:dPr>
                  <m:ctrlPr>
                    <w:rPr>
                      <w:rFonts w:ascii="Cambria Math" w:hAnsi="Cambria Math" w:cs="Courier New" w:eastAsiaTheme="minorEastAsia"/>
                      <w:i/>
                      <w:color w:val="000000"/>
                      <w:kern w:val="0"/>
                      <w:sz w:val="28"/>
                      <w:szCs w:val="28"/>
                    </w:rPr>
                  </m:ctrlPr>
                </m:dPr>
                <m:e>
                  <m:r>
                    <m:rPr/>
                    <w:rPr>
                      <w:rFonts w:ascii="Cambria Math" w:hAnsi="Cambria Math" w:cs="Courier New" w:eastAsiaTheme="minorEastAsia"/>
                      <w:color w:val="000000"/>
                      <w:kern w:val="0"/>
                      <w:sz w:val="28"/>
                      <w:szCs w:val="28"/>
                    </w:rPr>
                    <m:t>0</m:t>
                  </m:r>
                  <m:ctrlPr>
                    <w:rPr>
                      <w:rFonts w:ascii="Cambria Math" w:hAnsi="Cambria Math" w:cs="Courier New" w:eastAsiaTheme="minorEastAsia"/>
                      <w:i/>
                      <w:color w:val="000000"/>
                      <w:kern w:val="0"/>
                      <w:sz w:val="28"/>
                      <w:szCs w:val="28"/>
                    </w:rPr>
                  </m:ctrlPr>
                </m:e>
              </m:d>
              <m:ctrlPr>
                <w:rPr>
                  <w:rFonts w:ascii="Cambria Math" w:hAnsi="Cambria Math" w:cs="Courier New" w:eastAsiaTheme="minorEastAsia"/>
                  <w:i/>
                  <w:color w:val="000000"/>
                  <w:kern w:val="0"/>
                  <w:sz w:val="28"/>
                  <w:szCs w:val="28"/>
                </w:rPr>
              </m:ctrlPr>
            </m:sup>
          </m:sSup>
          <m:d>
            <m:dPr>
              <m:ctrlPr>
                <w:rPr>
                  <w:rFonts w:ascii="Cambria Math" w:hAnsi="Cambria Math" w:cs="Courier New" w:eastAsiaTheme="minorEastAsia"/>
                  <w:i/>
                  <w:color w:val="000000"/>
                  <w:kern w:val="0"/>
                  <w:sz w:val="28"/>
                  <w:szCs w:val="28"/>
                </w:rPr>
              </m:ctrlPr>
            </m:dPr>
            <m:e>
              <m:r>
                <m:rPr/>
                <w:rPr>
                  <w:rFonts w:ascii="Cambria Math" w:hAnsi="Cambria Math" w:cs="Courier New" w:eastAsiaTheme="minorEastAsia"/>
                  <w:color w:val="000000"/>
                  <w:kern w:val="0"/>
                  <w:sz w:val="28"/>
                  <w:szCs w:val="28"/>
                </w:rPr>
                <m:t>k+1</m:t>
              </m:r>
              <m:ctrlPr>
                <w:rPr>
                  <w:rFonts w:ascii="Cambria Math" w:hAnsi="Cambria Math" w:cs="Courier New" w:eastAsiaTheme="minorEastAsia"/>
                  <w:i/>
                  <w:color w:val="000000"/>
                  <w:kern w:val="0"/>
                  <w:sz w:val="28"/>
                  <w:szCs w:val="28"/>
                </w:rPr>
              </m:ctrlPr>
            </m:e>
          </m:d>
          <m:r>
            <m:rPr/>
            <w:rPr>
              <w:rFonts w:ascii="Cambria Math" w:hAnsi="Cambria Math" w:cs="Courier New" w:eastAsiaTheme="minorEastAsia"/>
              <w:color w:val="000000"/>
              <w:kern w:val="0"/>
              <w:sz w:val="28"/>
              <w:szCs w:val="28"/>
            </w:rPr>
            <m:t>=</m:t>
          </m:r>
          <m:sSup>
            <m:sSupPr>
              <m:ctrlPr>
                <w:rPr>
                  <w:rFonts w:ascii="Cambria Math" w:hAnsi="Cambria Math" w:cs="Courier New" w:eastAsiaTheme="minorEastAsia"/>
                  <w:i/>
                  <w:color w:val="000000"/>
                  <w:kern w:val="0"/>
                  <w:sz w:val="28"/>
                  <w:szCs w:val="28"/>
                </w:rPr>
              </m:ctrlPr>
            </m:sSupPr>
            <m:e>
              <m:acc>
                <m:accPr>
                  <m:ctrlPr>
                    <w:rPr>
                      <w:rFonts w:ascii="Cambria Math" w:hAnsi="Cambria Math" w:cs="Courier New" w:eastAsiaTheme="minorEastAsia"/>
                      <w:i/>
                      <w:color w:val="000000"/>
                      <w:kern w:val="0"/>
                      <w:sz w:val="28"/>
                      <w:szCs w:val="28"/>
                    </w:rPr>
                  </m:ctrlPr>
                </m:accPr>
                <m:e>
                  <m:r>
                    <m:rPr/>
                    <w:rPr>
                      <w:rFonts w:ascii="Cambria Math" w:hAnsi="Cambria Math" w:cs="Courier New" w:eastAsiaTheme="minorEastAsia"/>
                      <w:color w:val="000000"/>
                      <w:kern w:val="0"/>
                      <w:sz w:val="28"/>
                      <w:szCs w:val="28"/>
                    </w:rPr>
                    <m:t>x</m:t>
                  </m:r>
                  <m:ctrlPr>
                    <w:rPr>
                      <w:rFonts w:ascii="Cambria Math" w:hAnsi="Cambria Math" w:cs="Courier New" w:eastAsiaTheme="minorEastAsia"/>
                      <w:i/>
                      <w:color w:val="000000"/>
                      <w:kern w:val="0"/>
                      <w:sz w:val="28"/>
                      <w:szCs w:val="28"/>
                    </w:rPr>
                  </m:ctrlPr>
                </m:e>
              </m:acc>
              <m:ctrlPr>
                <w:rPr>
                  <w:rFonts w:ascii="Cambria Math" w:hAnsi="Cambria Math" w:cs="Courier New" w:eastAsiaTheme="minorEastAsia"/>
                  <w:i/>
                  <w:color w:val="000000"/>
                  <w:kern w:val="0"/>
                  <w:sz w:val="28"/>
                  <w:szCs w:val="28"/>
                </w:rPr>
              </m:ctrlPr>
            </m:e>
            <m:sup>
              <m:d>
                <m:dPr>
                  <m:ctrlPr>
                    <w:rPr>
                      <w:rFonts w:ascii="Cambria Math" w:hAnsi="Cambria Math" w:cs="Courier New" w:eastAsiaTheme="minorEastAsia"/>
                      <w:i/>
                      <w:color w:val="000000"/>
                      <w:kern w:val="0"/>
                      <w:sz w:val="28"/>
                      <w:szCs w:val="28"/>
                    </w:rPr>
                  </m:ctrlPr>
                </m:dPr>
                <m:e>
                  <m:r>
                    <m:rPr/>
                    <w:rPr>
                      <w:rFonts w:ascii="Cambria Math" w:hAnsi="Cambria Math" w:cs="Courier New" w:eastAsiaTheme="minorEastAsia"/>
                      <w:color w:val="000000"/>
                      <w:kern w:val="0"/>
                      <w:sz w:val="28"/>
                      <w:szCs w:val="28"/>
                    </w:rPr>
                    <m:t>1</m:t>
                  </m:r>
                  <m:ctrlPr>
                    <w:rPr>
                      <w:rFonts w:ascii="Cambria Math" w:hAnsi="Cambria Math" w:cs="Courier New" w:eastAsiaTheme="minorEastAsia"/>
                      <w:i/>
                      <w:color w:val="000000"/>
                      <w:kern w:val="0"/>
                      <w:sz w:val="28"/>
                      <w:szCs w:val="28"/>
                    </w:rPr>
                  </m:ctrlPr>
                </m:e>
              </m:d>
              <m:ctrlPr>
                <w:rPr>
                  <w:rFonts w:ascii="Cambria Math" w:hAnsi="Cambria Math" w:cs="Courier New" w:eastAsiaTheme="minorEastAsia"/>
                  <w:i/>
                  <w:color w:val="000000"/>
                  <w:kern w:val="0"/>
                  <w:sz w:val="28"/>
                  <w:szCs w:val="28"/>
                </w:rPr>
              </m:ctrlPr>
            </m:sup>
          </m:sSup>
          <m:d>
            <m:dPr>
              <m:ctrlPr>
                <w:rPr>
                  <w:rFonts w:ascii="Cambria Math" w:hAnsi="Cambria Math" w:cs="Courier New" w:eastAsiaTheme="minorEastAsia"/>
                  <w:i/>
                  <w:color w:val="000000"/>
                  <w:kern w:val="0"/>
                  <w:sz w:val="28"/>
                  <w:szCs w:val="28"/>
                </w:rPr>
              </m:ctrlPr>
            </m:dPr>
            <m:e>
              <m:r>
                <m:rPr/>
                <w:rPr>
                  <w:rFonts w:ascii="Cambria Math" w:hAnsi="Cambria Math" w:cs="Courier New" w:eastAsiaTheme="minorEastAsia"/>
                  <w:color w:val="000000"/>
                  <w:kern w:val="0"/>
                  <w:sz w:val="28"/>
                  <w:szCs w:val="28"/>
                </w:rPr>
                <m:t>k+1</m:t>
              </m:r>
              <m:ctrlPr>
                <w:rPr>
                  <w:rFonts w:ascii="Cambria Math" w:hAnsi="Cambria Math" w:cs="Courier New" w:eastAsiaTheme="minorEastAsia"/>
                  <w:i/>
                  <w:color w:val="000000"/>
                  <w:kern w:val="0"/>
                  <w:sz w:val="28"/>
                  <w:szCs w:val="28"/>
                </w:rPr>
              </m:ctrlPr>
            </m:e>
          </m:d>
          <m:r>
            <m:rPr/>
            <w:rPr>
              <w:rFonts w:ascii="Cambria Math" w:hAnsi="Cambria Math" w:cs="Courier New" w:eastAsiaTheme="minorEastAsia"/>
              <w:color w:val="000000"/>
              <w:kern w:val="0"/>
              <w:sz w:val="28"/>
              <w:szCs w:val="28"/>
            </w:rPr>
            <m:t>−</m:t>
          </m:r>
          <m:sSup>
            <m:sSupPr>
              <m:ctrlPr>
                <w:rPr>
                  <w:rFonts w:ascii="Cambria Math" w:hAnsi="Cambria Math" w:cs="Courier New" w:eastAsiaTheme="minorEastAsia"/>
                  <w:i/>
                  <w:color w:val="000000"/>
                  <w:kern w:val="0"/>
                  <w:sz w:val="28"/>
                  <w:szCs w:val="28"/>
                </w:rPr>
              </m:ctrlPr>
            </m:sSupPr>
            <m:e>
              <m:acc>
                <m:accPr>
                  <m:ctrlPr>
                    <w:rPr>
                      <w:rFonts w:ascii="Cambria Math" w:hAnsi="Cambria Math" w:cs="Courier New" w:eastAsiaTheme="minorEastAsia"/>
                      <w:i/>
                      <w:color w:val="000000"/>
                      <w:kern w:val="0"/>
                      <w:sz w:val="28"/>
                      <w:szCs w:val="28"/>
                    </w:rPr>
                  </m:ctrlPr>
                </m:accPr>
                <m:e>
                  <m:r>
                    <m:rPr/>
                    <w:rPr>
                      <w:rFonts w:ascii="Cambria Math" w:hAnsi="Cambria Math" w:cs="Courier New" w:eastAsiaTheme="minorEastAsia"/>
                      <w:color w:val="000000"/>
                      <w:kern w:val="0"/>
                      <w:sz w:val="28"/>
                      <w:szCs w:val="28"/>
                    </w:rPr>
                    <m:t>x</m:t>
                  </m:r>
                  <m:ctrlPr>
                    <w:rPr>
                      <w:rFonts w:ascii="Cambria Math" w:hAnsi="Cambria Math" w:cs="Courier New" w:eastAsiaTheme="minorEastAsia"/>
                      <w:i/>
                      <w:color w:val="000000"/>
                      <w:kern w:val="0"/>
                      <w:sz w:val="28"/>
                      <w:szCs w:val="28"/>
                    </w:rPr>
                  </m:ctrlPr>
                </m:e>
              </m:acc>
              <m:ctrlPr>
                <w:rPr>
                  <w:rFonts w:ascii="Cambria Math" w:hAnsi="Cambria Math" w:cs="Courier New" w:eastAsiaTheme="minorEastAsia"/>
                  <w:i/>
                  <w:color w:val="000000"/>
                  <w:kern w:val="0"/>
                  <w:sz w:val="28"/>
                  <w:szCs w:val="28"/>
                </w:rPr>
              </m:ctrlPr>
            </m:e>
            <m:sup>
              <m:d>
                <m:dPr>
                  <m:ctrlPr>
                    <w:rPr>
                      <w:rFonts w:ascii="Cambria Math" w:hAnsi="Cambria Math" w:cs="Courier New" w:eastAsiaTheme="minorEastAsia"/>
                      <w:i/>
                      <w:color w:val="000000"/>
                      <w:kern w:val="0"/>
                      <w:sz w:val="28"/>
                      <w:szCs w:val="28"/>
                    </w:rPr>
                  </m:ctrlPr>
                </m:dPr>
                <m:e>
                  <m:r>
                    <m:rPr/>
                    <w:rPr>
                      <w:rFonts w:ascii="Cambria Math" w:hAnsi="Cambria Math" w:cs="Courier New" w:eastAsiaTheme="minorEastAsia"/>
                      <w:color w:val="000000"/>
                      <w:kern w:val="0"/>
                      <w:sz w:val="28"/>
                      <w:szCs w:val="28"/>
                    </w:rPr>
                    <m:t>1</m:t>
                  </m:r>
                  <m:ctrlPr>
                    <w:rPr>
                      <w:rFonts w:ascii="Cambria Math" w:hAnsi="Cambria Math" w:cs="Courier New" w:eastAsiaTheme="minorEastAsia"/>
                      <w:i/>
                      <w:color w:val="000000"/>
                      <w:kern w:val="0"/>
                      <w:sz w:val="28"/>
                      <w:szCs w:val="28"/>
                    </w:rPr>
                  </m:ctrlPr>
                </m:e>
              </m:d>
              <m:ctrlPr>
                <w:rPr>
                  <w:rFonts w:ascii="Cambria Math" w:hAnsi="Cambria Math" w:cs="Courier New" w:eastAsiaTheme="minorEastAsia"/>
                  <w:i/>
                  <w:color w:val="000000"/>
                  <w:kern w:val="0"/>
                  <w:sz w:val="28"/>
                  <w:szCs w:val="28"/>
                </w:rPr>
              </m:ctrlPr>
            </m:sup>
          </m:sSup>
          <m:d>
            <m:dPr>
              <m:ctrlPr>
                <w:rPr>
                  <w:rFonts w:ascii="Cambria Math" w:hAnsi="Cambria Math" w:cs="Courier New" w:eastAsiaTheme="minorEastAsia"/>
                  <w:i/>
                  <w:color w:val="000000"/>
                  <w:kern w:val="0"/>
                  <w:sz w:val="28"/>
                  <w:szCs w:val="28"/>
                </w:rPr>
              </m:ctrlPr>
            </m:dPr>
            <m:e>
              <m:r>
                <m:rPr/>
                <w:rPr>
                  <w:rFonts w:ascii="Cambria Math" w:hAnsi="Cambria Math" w:cs="Courier New" w:eastAsiaTheme="minorEastAsia"/>
                  <w:color w:val="000000"/>
                  <w:kern w:val="0"/>
                  <w:sz w:val="28"/>
                  <w:szCs w:val="28"/>
                </w:rPr>
                <m:t>k</m:t>
              </m:r>
              <m:ctrlPr>
                <w:rPr>
                  <w:rFonts w:ascii="Cambria Math" w:hAnsi="Cambria Math" w:cs="Courier New" w:eastAsiaTheme="minorEastAsia"/>
                  <w:i/>
                  <w:color w:val="000000"/>
                  <w:kern w:val="0"/>
                  <w:sz w:val="28"/>
                  <w:szCs w:val="28"/>
                </w:rPr>
              </m:ctrlPr>
            </m:e>
          </m:d>
          <m:r>
            <m:rPr>
              <m:sty m:val="p"/>
            </m:rPr>
            <w:rPr>
              <w:rFonts w:ascii="Cambria Math" w:hAnsi="Cambria Math" w:cs="Courier New" w:eastAsiaTheme="minorEastAsia"/>
              <w:color w:val="000000"/>
              <w:kern w:val="0"/>
              <w:sz w:val="28"/>
              <w:szCs w:val="28"/>
            </w:rPr>
            <m:t>,k=1</m:t>
          </m:r>
          <m:r>
            <m:rPr>
              <m:sty m:val="p"/>
            </m:rPr>
            <w:rPr>
              <w:rFonts w:hint="eastAsia" w:ascii="Cambria Math" w:hAnsi="Cambria Math" w:cs="Courier New" w:eastAsiaTheme="minorEastAsia"/>
              <w:color w:val="000000"/>
              <w:kern w:val="0"/>
              <w:sz w:val="28"/>
              <w:szCs w:val="28"/>
            </w:rPr>
            <m:t>,</m:t>
          </m:r>
          <m:r>
            <m:rPr>
              <m:sty m:val="p"/>
            </m:rPr>
            <w:rPr>
              <w:rFonts w:ascii="Cambria Math" w:hAnsi="Cambria Math" w:cs="Courier New" w:eastAsiaTheme="minorEastAsia"/>
              <w:color w:val="000000"/>
              <w:kern w:val="0"/>
              <w:sz w:val="28"/>
              <w:szCs w:val="28"/>
            </w:rPr>
            <m:t>2,…</m:t>
          </m:r>
          <m:r>
            <m:rPr>
              <m:sty m:val="p"/>
            </m:rPr>
            <w:rPr>
              <w:rFonts w:hint="eastAsia" w:ascii="Cambria Math" w:hAnsi="Cambria Math" w:cs="Courier New" w:eastAsiaTheme="minorEastAsia"/>
              <w:color w:val="000000"/>
              <w:kern w:val="0"/>
              <w:sz w:val="28"/>
              <w:szCs w:val="28"/>
            </w:rPr>
            <m:t>,</m:t>
          </m:r>
          <m:r>
            <m:rPr>
              <m:sty m:val="p"/>
            </m:rPr>
            <w:rPr>
              <w:rFonts w:ascii="Cambria Math" w:hAnsi="Cambria Math" w:cs="Courier New" w:eastAsiaTheme="minorEastAsia"/>
              <w:color w:val="000000"/>
              <w:kern w:val="0"/>
              <w:sz w:val="28"/>
              <w:szCs w:val="28"/>
            </w:rPr>
            <m:t>n−1</m:t>
          </m:r>
        </m:oMath>
      </m:oMathPara>
    </w:p>
    <w:p w14:paraId="5F883984">
      <w:pPr>
        <w:autoSpaceDE w:val="0"/>
        <w:autoSpaceDN w:val="0"/>
        <w:adjustRightInd w:val="0"/>
        <w:spacing w:line="360" w:lineRule="auto"/>
        <w:ind w:firstLine="560" w:firstLineChars="200"/>
        <w:jc w:val="left"/>
        <w:rPr>
          <w:rFonts w:eastAsia="仿宋_GB2312"/>
          <w:sz w:val="24"/>
        </w:rPr>
      </w:pPr>
      <w:r>
        <w:rPr>
          <w:rFonts w:hint="eastAsia" w:eastAsia="仿宋_GB2312"/>
          <w:sz w:val="28"/>
          <w:szCs w:val="28"/>
        </w:rPr>
        <w:t>初步预测2025 年、2030 年突泉县货运量见下表。</w:t>
      </w:r>
    </w:p>
    <w:p w14:paraId="248F9394">
      <w:pPr>
        <w:spacing w:line="360" w:lineRule="auto"/>
        <w:jc w:val="center"/>
        <w:rPr>
          <w:b/>
          <w:kern w:val="0"/>
          <w:sz w:val="24"/>
        </w:rPr>
      </w:pPr>
      <w:r>
        <w:rPr>
          <w:rFonts w:hint="eastAsia"/>
          <w:b/>
          <w:kern w:val="0"/>
          <w:sz w:val="24"/>
        </w:rPr>
        <w:t>表3-4  突泉县客运量预测</w:t>
      </w:r>
    </w:p>
    <w:tbl>
      <w:tblPr>
        <w:tblStyle w:val="10"/>
        <w:tblW w:w="8522" w:type="dxa"/>
        <w:tblInd w:w="0" w:type="dxa"/>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0"/>
        <w:gridCol w:w="2842"/>
      </w:tblGrid>
      <w:tr w14:paraId="0CD5C987">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02344EBB">
            <w:pPr>
              <w:spacing w:line="360" w:lineRule="auto"/>
              <w:jc w:val="center"/>
              <w:rPr>
                <w:rFonts w:ascii="等线" w:hAnsi="等线" w:eastAsia="等线" w:cs="等线"/>
                <w:sz w:val="24"/>
              </w:rPr>
            </w:pPr>
            <w:r>
              <w:rPr>
                <w:rFonts w:hint="eastAsia" w:ascii="等线" w:hAnsi="等线" w:eastAsia="等线" w:cs="等线"/>
                <w:sz w:val="24"/>
              </w:rPr>
              <w:t>年份</w:t>
            </w:r>
          </w:p>
        </w:tc>
        <w:tc>
          <w:tcPr>
            <w:tcW w:w="2840" w:type="dxa"/>
            <w:vAlign w:val="center"/>
          </w:tcPr>
          <w:p w14:paraId="7FCAC0E9">
            <w:pPr>
              <w:spacing w:line="360" w:lineRule="auto"/>
              <w:jc w:val="center"/>
              <w:rPr>
                <w:rFonts w:ascii="等线" w:hAnsi="等线" w:eastAsia="等线" w:cs="等线"/>
                <w:sz w:val="24"/>
              </w:rPr>
            </w:pPr>
            <w:r>
              <w:rPr>
                <w:rFonts w:hint="eastAsia" w:ascii="等线" w:hAnsi="等线" w:eastAsia="等线" w:cs="等线"/>
                <w:sz w:val="24"/>
              </w:rPr>
              <w:t>2025</w:t>
            </w:r>
          </w:p>
        </w:tc>
        <w:tc>
          <w:tcPr>
            <w:tcW w:w="2842" w:type="dxa"/>
            <w:vAlign w:val="center"/>
          </w:tcPr>
          <w:p w14:paraId="3E07CC96">
            <w:pPr>
              <w:spacing w:line="360" w:lineRule="auto"/>
              <w:jc w:val="center"/>
              <w:rPr>
                <w:rFonts w:ascii="等线" w:hAnsi="等线" w:eastAsia="等线" w:cs="等线"/>
                <w:sz w:val="24"/>
              </w:rPr>
            </w:pPr>
            <w:r>
              <w:rPr>
                <w:rFonts w:hint="eastAsia" w:ascii="等线" w:hAnsi="等线" w:eastAsia="等线" w:cs="等线"/>
                <w:sz w:val="24"/>
              </w:rPr>
              <w:t>2030</w:t>
            </w:r>
          </w:p>
        </w:tc>
      </w:tr>
      <w:tr w14:paraId="122F37CA">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65283940">
            <w:pPr>
              <w:spacing w:line="360" w:lineRule="auto"/>
              <w:jc w:val="center"/>
              <w:rPr>
                <w:rFonts w:ascii="等线" w:hAnsi="等线" w:eastAsia="等线" w:cs="等线"/>
                <w:sz w:val="24"/>
              </w:rPr>
            </w:pPr>
            <w:r>
              <w:rPr>
                <w:rFonts w:hint="eastAsia" w:ascii="等线" w:hAnsi="等线" w:eastAsia="等线" w:cs="等线"/>
                <w:sz w:val="24"/>
              </w:rPr>
              <w:t>预测值（万人）</w:t>
            </w:r>
          </w:p>
        </w:tc>
        <w:tc>
          <w:tcPr>
            <w:tcW w:w="2840" w:type="dxa"/>
            <w:vAlign w:val="center"/>
          </w:tcPr>
          <w:p w14:paraId="772DB1BA">
            <w:pPr>
              <w:spacing w:line="360" w:lineRule="auto"/>
              <w:jc w:val="center"/>
              <w:rPr>
                <w:rFonts w:ascii="等线" w:hAnsi="等线" w:eastAsia="等线" w:cs="等线"/>
                <w:sz w:val="24"/>
              </w:rPr>
            </w:pPr>
            <w:r>
              <w:rPr>
                <w:rFonts w:hint="eastAsia" w:ascii="等线" w:hAnsi="等线" w:eastAsia="等线" w:cs="等线"/>
                <w:sz w:val="24"/>
              </w:rPr>
              <w:t>1385.3</w:t>
            </w:r>
          </w:p>
        </w:tc>
        <w:tc>
          <w:tcPr>
            <w:tcW w:w="2842" w:type="dxa"/>
            <w:vAlign w:val="center"/>
          </w:tcPr>
          <w:p w14:paraId="711A09A4">
            <w:pPr>
              <w:spacing w:line="360" w:lineRule="auto"/>
              <w:jc w:val="center"/>
              <w:rPr>
                <w:rFonts w:ascii="等线" w:hAnsi="等线" w:eastAsia="等线" w:cs="等线"/>
                <w:sz w:val="24"/>
              </w:rPr>
            </w:pPr>
            <w:r>
              <w:rPr>
                <w:rFonts w:hint="eastAsia" w:ascii="等线" w:hAnsi="等线" w:eastAsia="等线" w:cs="等线"/>
                <w:sz w:val="24"/>
              </w:rPr>
              <w:t>4572.9</w:t>
            </w:r>
          </w:p>
        </w:tc>
      </w:tr>
    </w:tbl>
    <w:p w14:paraId="16F93FE6">
      <w:pPr>
        <w:spacing w:line="360" w:lineRule="auto"/>
        <w:ind w:firstLine="560" w:firstLineChars="200"/>
        <w:rPr>
          <w:rFonts w:eastAsia="仿宋_GB2312"/>
          <w:sz w:val="28"/>
          <w:szCs w:val="28"/>
        </w:rPr>
      </w:pPr>
      <w:r>
        <w:rPr>
          <w:rFonts w:hint="eastAsia" w:eastAsia="仿宋_GB2312"/>
          <w:sz w:val="28"/>
          <w:szCs w:val="28"/>
        </w:rPr>
        <w:t>（4）预测结果</w:t>
      </w:r>
    </w:p>
    <w:p w14:paraId="08B28A11">
      <w:pPr>
        <w:spacing w:line="360" w:lineRule="auto"/>
        <w:ind w:firstLine="560" w:firstLineChars="200"/>
        <w:rPr>
          <w:rFonts w:eastAsia="仿宋_GB2312"/>
          <w:sz w:val="28"/>
          <w:szCs w:val="28"/>
        </w:rPr>
      </w:pPr>
      <w:r>
        <w:rPr>
          <w:rFonts w:hint="eastAsia" w:eastAsia="仿宋_GB2312"/>
          <w:sz w:val="28"/>
          <w:szCs w:val="28"/>
        </w:rPr>
        <w:t>由时间序列法、回归分析法、灰色预测法，采用组合预测法确定突泉全社会客运量的最终结果。组合预测的方法是对各种方法的预测结论分别赋予一定的权重，最终预测结果即为各中间预测值与相应权重系数乘积的累计。根据以上三种方法拟合的程度，基于现有历史货运量数据，并考虑到三种预测模型的使用条件，模型预测精度以及模型的检验结果并咨询相关专家意见，经过适当调整，确定时间序列法、回归分析法、灰色模型预测法三种方法的权重，采用组合预测法计算突泉特征年全社会客运量预测结果见表。</w:t>
      </w:r>
    </w:p>
    <w:p w14:paraId="3FE7EC3A">
      <w:pPr>
        <w:spacing w:line="360" w:lineRule="auto"/>
        <w:jc w:val="center"/>
        <w:rPr>
          <w:b/>
          <w:kern w:val="0"/>
          <w:sz w:val="24"/>
        </w:rPr>
      </w:pPr>
      <w:r>
        <w:rPr>
          <w:rFonts w:hint="eastAsia"/>
          <w:b/>
          <w:kern w:val="0"/>
          <w:sz w:val="24"/>
        </w:rPr>
        <w:t>表3-5  突泉县客运量预测</w:t>
      </w:r>
    </w:p>
    <w:tbl>
      <w:tblPr>
        <w:tblStyle w:val="10"/>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0"/>
        <w:gridCol w:w="2842"/>
      </w:tblGrid>
      <w:tr w14:paraId="30B6E7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7FF498AE">
            <w:pPr>
              <w:spacing w:line="360" w:lineRule="auto"/>
              <w:jc w:val="center"/>
              <w:rPr>
                <w:rFonts w:ascii="等线" w:hAnsi="等线" w:eastAsia="等线" w:cs="等线"/>
                <w:sz w:val="24"/>
              </w:rPr>
            </w:pPr>
            <w:r>
              <w:rPr>
                <w:rFonts w:hint="eastAsia" w:ascii="等线" w:hAnsi="等线" w:eastAsia="等线" w:cs="等线"/>
                <w:sz w:val="24"/>
              </w:rPr>
              <w:t>年份</w:t>
            </w:r>
          </w:p>
        </w:tc>
        <w:tc>
          <w:tcPr>
            <w:tcW w:w="2840" w:type="dxa"/>
            <w:vAlign w:val="center"/>
          </w:tcPr>
          <w:p w14:paraId="76948232">
            <w:pPr>
              <w:spacing w:line="360" w:lineRule="auto"/>
              <w:jc w:val="center"/>
              <w:rPr>
                <w:rFonts w:ascii="等线" w:hAnsi="等线" w:eastAsia="等线" w:cs="等线"/>
                <w:sz w:val="24"/>
              </w:rPr>
            </w:pPr>
            <w:r>
              <w:rPr>
                <w:rFonts w:hint="eastAsia" w:ascii="等线" w:hAnsi="等线" w:eastAsia="等线" w:cs="等线"/>
                <w:sz w:val="24"/>
              </w:rPr>
              <w:t>2025</w:t>
            </w:r>
          </w:p>
        </w:tc>
        <w:tc>
          <w:tcPr>
            <w:tcW w:w="2842" w:type="dxa"/>
            <w:vAlign w:val="center"/>
          </w:tcPr>
          <w:p w14:paraId="6A662ED7">
            <w:pPr>
              <w:spacing w:line="360" w:lineRule="auto"/>
              <w:jc w:val="center"/>
              <w:rPr>
                <w:rFonts w:ascii="等线" w:hAnsi="等线" w:eastAsia="等线" w:cs="等线"/>
                <w:sz w:val="24"/>
              </w:rPr>
            </w:pPr>
            <w:r>
              <w:rPr>
                <w:rFonts w:hint="eastAsia" w:ascii="等线" w:hAnsi="等线" w:eastAsia="等线" w:cs="等线"/>
                <w:sz w:val="24"/>
              </w:rPr>
              <w:t>2030</w:t>
            </w:r>
          </w:p>
        </w:tc>
      </w:tr>
      <w:tr w14:paraId="2BFFC6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6CE66A4A">
            <w:pPr>
              <w:spacing w:line="360" w:lineRule="auto"/>
              <w:jc w:val="center"/>
              <w:rPr>
                <w:rFonts w:ascii="等线" w:hAnsi="等线" w:eastAsia="等线" w:cs="等线"/>
                <w:sz w:val="24"/>
              </w:rPr>
            </w:pPr>
            <w:r>
              <w:rPr>
                <w:rFonts w:hint="eastAsia" w:ascii="等线" w:hAnsi="等线" w:eastAsia="等线" w:cs="等线"/>
                <w:sz w:val="24"/>
              </w:rPr>
              <w:t>预测值（万人）</w:t>
            </w:r>
          </w:p>
        </w:tc>
        <w:tc>
          <w:tcPr>
            <w:tcW w:w="2840" w:type="dxa"/>
            <w:vAlign w:val="center"/>
          </w:tcPr>
          <w:p w14:paraId="1623C996">
            <w:pPr>
              <w:spacing w:line="360" w:lineRule="auto"/>
              <w:jc w:val="center"/>
              <w:rPr>
                <w:rFonts w:ascii="等线" w:hAnsi="等线" w:eastAsia="等线" w:cs="等线"/>
                <w:sz w:val="24"/>
              </w:rPr>
            </w:pPr>
            <w:r>
              <w:rPr>
                <w:rFonts w:hint="eastAsia" w:ascii="等线" w:hAnsi="等线" w:eastAsia="等线" w:cs="等线"/>
                <w:sz w:val="24"/>
              </w:rPr>
              <w:t>467.85</w:t>
            </w:r>
          </w:p>
        </w:tc>
        <w:tc>
          <w:tcPr>
            <w:tcW w:w="2842" w:type="dxa"/>
            <w:vAlign w:val="center"/>
          </w:tcPr>
          <w:p w14:paraId="74BF5AD3">
            <w:pPr>
              <w:autoSpaceDE w:val="0"/>
              <w:autoSpaceDN w:val="0"/>
              <w:adjustRightInd w:val="0"/>
              <w:spacing w:line="360" w:lineRule="auto"/>
              <w:jc w:val="center"/>
              <w:rPr>
                <w:rFonts w:ascii="等线" w:hAnsi="等线" w:eastAsia="等线" w:cs="等线"/>
                <w:sz w:val="24"/>
              </w:rPr>
            </w:pPr>
            <w:r>
              <w:rPr>
                <w:rFonts w:hint="eastAsia" w:ascii="等线" w:hAnsi="等线" w:eastAsia="等线" w:cs="等线"/>
                <w:sz w:val="24"/>
              </w:rPr>
              <w:t>889.8</w:t>
            </w:r>
          </w:p>
        </w:tc>
      </w:tr>
    </w:tbl>
    <w:p w14:paraId="121DD8BF">
      <w:pPr>
        <w:spacing w:line="360" w:lineRule="auto"/>
        <w:ind w:firstLine="560" w:firstLineChars="200"/>
        <w:rPr>
          <w:rFonts w:eastAsia="仿宋_GB2312"/>
          <w:sz w:val="28"/>
          <w:szCs w:val="28"/>
        </w:rPr>
      </w:pPr>
    </w:p>
    <w:p w14:paraId="47791709">
      <w:pPr>
        <w:spacing w:line="360" w:lineRule="auto"/>
        <w:rPr>
          <w:rFonts w:eastAsia="仿宋_GB2312"/>
          <w:b/>
          <w:bCs/>
          <w:sz w:val="28"/>
          <w:szCs w:val="28"/>
        </w:rPr>
      </w:pPr>
      <w:r>
        <w:rPr>
          <w:rFonts w:hint="eastAsia" w:eastAsia="仿宋_GB2312"/>
          <w:b/>
          <w:bCs/>
          <w:sz w:val="28"/>
          <w:szCs w:val="28"/>
        </w:rPr>
        <w:t>（三）客运结构分析</w:t>
      </w:r>
    </w:p>
    <w:p w14:paraId="5323DF26">
      <w:pPr>
        <w:spacing w:line="360" w:lineRule="auto"/>
        <w:ind w:firstLine="560" w:firstLineChars="200"/>
        <w:rPr>
          <w:rFonts w:eastAsia="仿宋_GB2312"/>
          <w:sz w:val="28"/>
          <w:szCs w:val="28"/>
        </w:rPr>
      </w:pPr>
      <w:r>
        <w:rPr>
          <w:rFonts w:hint="eastAsia" w:eastAsia="仿宋_GB2312"/>
          <w:sz w:val="28"/>
          <w:szCs w:val="28"/>
        </w:rPr>
        <w:t>在对突泉县未来客运量分析预测过程中，我们不仅关注总量的变化，同时也按照供给侧改革的思路，对未来客运需求结构进行了分析。这对于未来该地区运输供给结构调整宏观决策十分重要。基于突泉县历史客运需求结构演化，以及借鉴国内外发达地区的客运市场开发过程的经验，得出了未来突泉县在客运总量规模不断扩大的同时，需求结构将呈现出高、中、低层次进一步分化，其中高快改善型需求（包括</w:t>
      </w:r>
      <w:bookmarkStart w:id="18" w:name="_Hlk36651421"/>
      <w:r>
        <w:rPr>
          <w:rFonts w:hint="eastAsia" w:eastAsia="仿宋_GB2312"/>
          <w:sz w:val="28"/>
          <w:szCs w:val="28"/>
        </w:rPr>
        <w:t>跨境、跨区域旅游、商务出行</w:t>
      </w:r>
      <w:bookmarkEnd w:id="18"/>
      <w:r>
        <w:rPr>
          <w:rFonts w:hint="eastAsia" w:eastAsia="仿宋_GB2312"/>
          <w:sz w:val="28"/>
          <w:szCs w:val="28"/>
        </w:rPr>
        <w:t>等）将呈现快速增长的态势，其增幅将明显高于客运总量增长率的基本判断，同时跨区跨旅游客流，与内蒙城市圈城际客流，城乡客流三种客流的不断增加也大大提升了客运需求。</w:t>
      </w:r>
    </w:p>
    <w:p w14:paraId="3676BE9C">
      <w:pPr>
        <w:spacing w:line="360" w:lineRule="auto"/>
        <w:jc w:val="center"/>
        <w:rPr>
          <w:b/>
          <w:kern w:val="0"/>
          <w:sz w:val="24"/>
        </w:rPr>
      </w:pPr>
      <w:r>
        <w:rPr>
          <w:rFonts w:hint="eastAsia"/>
          <w:b/>
          <w:kern w:val="0"/>
          <w:sz w:val="24"/>
        </w:rPr>
        <w:t>表3-7  突泉县客运市场预测表</w:t>
      </w:r>
    </w:p>
    <w:tbl>
      <w:tblPr>
        <w:tblStyle w:val="1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1705"/>
        <w:gridCol w:w="1706"/>
        <w:gridCol w:w="1706"/>
        <w:gridCol w:w="1706"/>
      </w:tblGrid>
      <w:tr w14:paraId="65C83F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5" w:type="dxa"/>
          </w:tcPr>
          <w:p w14:paraId="0D91E82F">
            <w:pPr>
              <w:spacing w:line="360" w:lineRule="auto"/>
              <w:jc w:val="center"/>
              <w:rPr>
                <w:rFonts w:ascii="等线" w:hAnsi="等线" w:eastAsia="等线" w:cs="等线"/>
                <w:sz w:val="24"/>
              </w:rPr>
            </w:pPr>
            <w:r>
              <w:rPr>
                <w:rFonts w:hint="eastAsia" w:ascii="等线" w:hAnsi="等线" w:eastAsia="等线" w:cs="等线"/>
                <w:sz w:val="24"/>
              </w:rPr>
              <w:t>年度</w:t>
            </w:r>
          </w:p>
        </w:tc>
        <w:tc>
          <w:tcPr>
            <w:tcW w:w="1705" w:type="dxa"/>
          </w:tcPr>
          <w:p w14:paraId="7199C38F">
            <w:pPr>
              <w:spacing w:line="360" w:lineRule="auto"/>
              <w:jc w:val="center"/>
              <w:rPr>
                <w:rFonts w:ascii="等线" w:hAnsi="等线" w:eastAsia="等线" w:cs="等线"/>
                <w:sz w:val="24"/>
              </w:rPr>
            </w:pPr>
            <w:r>
              <w:rPr>
                <w:rFonts w:hint="eastAsia" w:ascii="等线" w:hAnsi="等线" w:eastAsia="等线" w:cs="等线"/>
                <w:sz w:val="24"/>
              </w:rPr>
              <w:t>铁路</w:t>
            </w:r>
          </w:p>
        </w:tc>
        <w:tc>
          <w:tcPr>
            <w:tcW w:w="1706" w:type="dxa"/>
          </w:tcPr>
          <w:p w14:paraId="4127DDC0">
            <w:pPr>
              <w:spacing w:line="360" w:lineRule="auto"/>
              <w:jc w:val="center"/>
              <w:rPr>
                <w:rFonts w:ascii="等线" w:hAnsi="等线" w:eastAsia="等线" w:cs="等线"/>
                <w:sz w:val="24"/>
              </w:rPr>
            </w:pPr>
            <w:r>
              <w:rPr>
                <w:rFonts w:hint="eastAsia" w:ascii="等线" w:hAnsi="等线" w:eastAsia="等线" w:cs="等线"/>
                <w:sz w:val="24"/>
              </w:rPr>
              <w:t>公路</w:t>
            </w:r>
          </w:p>
        </w:tc>
        <w:tc>
          <w:tcPr>
            <w:tcW w:w="1706" w:type="dxa"/>
          </w:tcPr>
          <w:p w14:paraId="14B47D2F">
            <w:pPr>
              <w:spacing w:line="360" w:lineRule="auto"/>
              <w:jc w:val="center"/>
              <w:rPr>
                <w:rFonts w:ascii="等线" w:hAnsi="等线" w:eastAsia="等线" w:cs="等线"/>
                <w:sz w:val="24"/>
              </w:rPr>
            </w:pPr>
            <w:r>
              <w:rPr>
                <w:rFonts w:hint="eastAsia" w:ascii="等线" w:hAnsi="等线" w:eastAsia="等线" w:cs="等线"/>
                <w:sz w:val="24"/>
              </w:rPr>
              <w:t>航空</w:t>
            </w:r>
          </w:p>
        </w:tc>
        <w:tc>
          <w:tcPr>
            <w:tcW w:w="1706" w:type="dxa"/>
          </w:tcPr>
          <w:p w14:paraId="17D97ACC">
            <w:pPr>
              <w:spacing w:line="360" w:lineRule="auto"/>
              <w:jc w:val="center"/>
              <w:rPr>
                <w:rFonts w:ascii="等线" w:hAnsi="等线" w:eastAsia="等线" w:cs="等线"/>
                <w:sz w:val="24"/>
              </w:rPr>
            </w:pPr>
            <w:r>
              <w:rPr>
                <w:rFonts w:hint="eastAsia" w:ascii="等线" w:hAnsi="等线" w:eastAsia="等线" w:cs="等线"/>
                <w:sz w:val="24"/>
              </w:rPr>
              <w:t>合计</w:t>
            </w:r>
          </w:p>
        </w:tc>
      </w:tr>
      <w:tr w14:paraId="27F4FE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5" w:type="dxa"/>
          </w:tcPr>
          <w:p w14:paraId="7CEE357A">
            <w:pPr>
              <w:spacing w:line="360" w:lineRule="auto"/>
              <w:jc w:val="center"/>
              <w:rPr>
                <w:rFonts w:ascii="等线" w:hAnsi="等线" w:eastAsia="等线" w:cs="等线"/>
                <w:sz w:val="24"/>
              </w:rPr>
            </w:pPr>
            <w:r>
              <w:rPr>
                <w:rFonts w:hint="eastAsia" w:ascii="等线" w:hAnsi="等线" w:eastAsia="等线" w:cs="等线"/>
                <w:sz w:val="24"/>
              </w:rPr>
              <w:t>2025年</w:t>
            </w:r>
          </w:p>
        </w:tc>
        <w:tc>
          <w:tcPr>
            <w:tcW w:w="1705" w:type="dxa"/>
          </w:tcPr>
          <w:p w14:paraId="73307608">
            <w:pPr>
              <w:spacing w:line="360" w:lineRule="auto"/>
              <w:jc w:val="center"/>
              <w:rPr>
                <w:rFonts w:ascii="等线" w:hAnsi="等线" w:eastAsia="等线" w:cs="等线"/>
                <w:sz w:val="24"/>
              </w:rPr>
            </w:pPr>
            <w:r>
              <w:rPr>
                <w:rFonts w:hint="eastAsia" w:ascii="等线" w:hAnsi="等线" w:eastAsia="等线" w:cs="等线"/>
                <w:sz w:val="24"/>
              </w:rPr>
              <w:t>6.3%</w:t>
            </w:r>
          </w:p>
        </w:tc>
        <w:tc>
          <w:tcPr>
            <w:tcW w:w="1706" w:type="dxa"/>
          </w:tcPr>
          <w:p w14:paraId="4E89F359">
            <w:pPr>
              <w:spacing w:line="360" w:lineRule="auto"/>
              <w:jc w:val="center"/>
              <w:rPr>
                <w:rFonts w:ascii="等线" w:hAnsi="等线" w:eastAsia="等线" w:cs="等线"/>
                <w:sz w:val="24"/>
              </w:rPr>
            </w:pPr>
            <w:r>
              <w:rPr>
                <w:rFonts w:hint="eastAsia" w:ascii="等线" w:hAnsi="等线" w:eastAsia="等线" w:cs="等线"/>
                <w:sz w:val="24"/>
              </w:rPr>
              <w:t>90.6%</w:t>
            </w:r>
          </w:p>
        </w:tc>
        <w:tc>
          <w:tcPr>
            <w:tcW w:w="1706" w:type="dxa"/>
          </w:tcPr>
          <w:p w14:paraId="2DB977AF">
            <w:pPr>
              <w:spacing w:line="360" w:lineRule="auto"/>
              <w:jc w:val="center"/>
              <w:rPr>
                <w:rFonts w:ascii="等线" w:hAnsi="等线" w:eastAsia="等线" w:cs="等线"/>
                <w:sz w:val="24"/>
              </w:rPr>
            </w:pPr>
            <w:r>
              <w:rPr>
                <w:rFonts w:hint="eastAsia" w:ascii="等线" w:hAnsi="等线" w:eastAsia="等线" w:cs="等线"/>
                <w:sz w:val="24"/>
              </w:rPr>
              <w:t>3.1%</w:t>
            </w:r>
          </w:p>
        </w:tc>
        <w:tc>
          <w:tcPr>
            <w:tcW w:w="1706" w:type="dxa"/>
          </w:tcPr>
          <w:p w14:paraId="35CBB43D">
            <w:pPr>
              <w:spacing w:line="360" w:lineRule="auto"/>
              <w:jc w:val="center"/>
              <w:rPr>
                <w:rFonts w:ascii="等线" w:hAnsi="等线" w:eastAsia="等线" w:cs="等线"/>
                <w:sz w:val="24"/>
              </w:rPr>
            </w:pPr>
            <w:r>
              <w:rPr>
                <w:rFonts w:hint="eastAsia" w:ascii="等线" w:hAnsi="等线" w:eastAsia="等线" w:cs="等线"/>
                <w:sz w:val="24"/>
              </w:rPr>
              <w:t>100%</w:t>
            </w:r>
          </w:p>
        </w:tc>
      </w:tr>
      <w:tr w14:paraId="3228A3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5" w:type="dxa"/>
          </w:tcPr>
          <w:p w14:paraId="66AF29D0">
            <w:pPr>
              <w:spacing w:line="360" w:lineRule="auto"/>
              <w:jc w:val="center"/>
              <w:rPr>
                <w:rFonts w:ascii="等线" w:hAnsi="等线" w:eastAsia="等线" w:cs="等线"/>
                <w:sz w:val="24"/>
              </w:rPr>
            </w:pPr>
            <w:r>
              <w:rPr>
                <w:rFonts w:hint="eastAsia" w:ascii="等线" w:hAnsi="等线" w:eastAsia="等线" w:cs="等线"/>
                <w:sz w:val="24"/>
              </w:rPr>
              <w:t>2030年</w:t>
            </w:r>
          </w:p>
        </w:tc>
        <w:tc>
          <w:tcPr>
            <w:tcW w:w="1705" w:type="dxa"/>
          </w:tcPr>
          <w:p w14:paraId="1DD93E94">
            <w:pPr>
              <w:spacing w:line="360" w:lineRule="auto"/>
              <w:jc w:val="center"/>
              <w:rPr>
                <w:rFonts w:ascii="等线" w:hAnsi="等线" w:eastAsia="等线" w:cs="等线"/>
                <w:sz w:val="24"/>
              </w:rPr>
            </w:pPr>
            <w:r>
              <w:rPr>
                <w:rFonts w:hint="eastAsia" w:ascii="等线" w:hAnsi="等线" w:eastAsia="等线" w:cs="等线"/>
                <w:sz w:val="24"/>
              </w:rPr>
              <w:t>11.4%</w:t>
            </w:r>
          </w:p>
        </w:tc>
        <w:tc>
          <w:tcPr>
            <w:tcW w:w="1706" w:type="dxa"/>
          </w:tcPr>
          <w:p w14:paraId="72DD15D3">
            <w:pPr>
              <w:spacing w:line="360" w:lineRule="auto"/>
              <w:jc w:val="center"/>
              <w:rPr>
                <w:rFonts w:ascii="等线" w:hAnsi="等线" w:eastAsia="等线" w:cs="等线"/>
                <w:sz w:val="24"/>
              </w:rPr>
            </w:pPr>
            <w:r>
              <w:rPr>
                <w:rFonts w:hint="eastAsia" w:ascii="等线" w:hAnsi="等线" w:eastAsia="等线" w:cs="等线"/>
                <w:sz w:val="24"/>
              </w:rPr>
              <w:t>82.4%</w:t>
            </w:r>
          </w:p>
        </w:tc>
        <w:tc>
          <w:tcPr>
            <w:tcW w:w="1706" w:type="dxa"/>
          </w:tcPr>
          <w:p w14:paraId="17F406BD">
            <w:pPr>
              <w:spacing w:line="360" w:lineRule="auto"/>
              <w:jc w:val="center"/>
              <w:rPr>
                <w:rFonts w:ascii="等线" w:hAnsi="等线" w:eastAsia="等线" w:cs="等线"/>
                <w:sz w:val="24"/>
              </w:rPr>
            </w:pPr>
            <w:r>
              <w:rPr>
                <w:rFonts w:hint="eastAsia" w:ascii="等线" w:hAnsi="等线" w:eastAsia="等线" w:cs="等线"/>
                <w:sz w:val="24"/>
              </w:rPr>
              <w:t>6.2%</w:t>
            </w:r>
          </w:p>
        </w:tc>
        <w:tc>
          <w:tcPr>
            <w:tcW w:w="1706" w:type="dxa"/>
          </w:tcPr>
          <w:p w14:paraId="32AB306C">
            <w:pPr>
              <w:spacing w:line="360" w:lineRule="auto"/>
              <w:jc w:val="center"/>
              <w:rPr>
                <w:rFonts w:ascii="等线" w:hAnsi="等线" w:eastAsia="等线" w:cs="等线"/>
                <w:sz w:val="24"/>
              </w:rPr>
            </w:pPr>
            <w:r>
              <w:rPr>
                <w:rFonts w:hint="eastAsia" w:ascii="等线" w:hAnsi="等线" w:eastAsia="等线" w:cs="等线"/>
                <w:sz w:val="24"/>
              </w:rPr>
              <w:t>100%</w:t>
            </w:r>
          </w:p>
        </w:tc>
      </w:tr>
    </w:tbl>
    <w:p w14:paraId="4E192678">
      <w:pPr>
        <w:pStyle w:val="6"/>
        <w:rPr>
          <w:rFonts w:ascii="仿宋" w:hAnsi="仿宋" w:eastAsia="仿宋" w:cs="仿宋"/>
        </w:rPr>
      </w:pPr>
      <w:r>
        <w:rPr>
          <w:rFonts w:hint="eastAsia" w:ascii="仿宋" w:hAnsi="仿宋" w:eastAsia="仿宋" w:cs="仿宋"/>
        </w:rPr>
        <w:t>2.2 货运</w:t>
      </w:r>
    </w:p>
    <w:p w14:paraId="791D97B5">
      <w:pPr>
        <w:spacing w:line="360" w:lineRule="auto"/>
        <w:rPr>
          <w:rFonts w:ascii="仿宋_GB2312" w:eastAsia="仿宋_GB2312"/>
          <w:b/>
          <w:sz w:val="28"/>
          <w:szCs w:val="28"/>
        </w:rPr>
      </w:pPr>
      <w:r>
        <w:rPr>
          <w:rFonts w:hint="eastAsia" w:ascii="仿宋_GB2312" w:eastAsia="仿宋_GB2312"/>
          <w:b/>
          <w:sz w:val="28"/>
          <w:szCs w:val="28"/>
        </w:rPr>
        <w:t>（一）货运总量需求分析</w:t>
      </w:r>
    </w:p>
    <w:p w14:paraId="4E878C3A">
      <w:pPr>
        <w:spacing w:line="360" w:lineRule="auto"/>
        <w:ind w:firstLine="560" w:firstLineChars="200"/>
        <w:rPr>
          <w:rFonts w:eastAsia="仿宋_GB2312"/>
          <w:sz w:val="28"/>
          <w:szCs w:val="28"/>
        </w:rPr>
      </w:pPr>
      <w:r>
        <w:rPr>
          <w:rFonts w:hint="eastAsia" w:eastAsia="仿宋_GB2312"/>
          <w:sz w:val="28"/>
          <w:szCs w:val="28"/>
        </w:rPr>
        <w:t>未来突泉社会经济发展总体采取“外联内优”的发展战略，“外联”即区域经济一体化战略，“内优”即中心区产业升级优化战略、周边县市产业簇群合作等。</w:t>
      </w:r>
    </w:p>
    <w:p w14:paraId="0344FC82">
      <w:pPr>
        <w:spacing w:line="360" w:lineRule="auto"/>
        <w:ind w:firstLine="562" w:firstLineChars="200"/>
        <w:rPr>
          <w:rFonts w:eastAsia="仿宋_GB2312"/>
          <w:b/>
          <w:bCs/>
          <w:sz w:val="28"/>
          <w:szCs w:val="28"/>
        </w:rPr>
      </w:pPr>
      <w:r>
        <w:rPr>
          <w:rFonts w:hint="eastAsia" w:eastAsia="仿宋_GB2312"/>
          <w:b/>
          <w:bCs/>
          <w:sz w:val="28"/>
          <w:szCs w:val="28"/>
        </w:rPr>
        <w:t>（1）随着突泉产业结构调整，工业、农业现代化等发展，将促进地区货运需求增长及结构调整</w:t>
      </w:r>
    </w:p>
    <w:p w14:paraId="4A091B60">
      <w:pPr>
        <w:spacing w:line="360" w:lineRule="auto"/>
        <w:ind w:firstLine="560" w:firstLineChars="200"/>
        <w:rPr>
          <w:rFonts w:eastAsia="仿宋_GB2312"/>
          <w:sz w:val="28"/>
          <w:szCs w:val="28"/>
        </w:rPr>
      </w:pPr>
      <w:r>
        <w:rPr>
          <w:rFonts w:hint="eastAsia" w:eastAsia="仿宋_GB2312"/>
          <w:sz w:val="28"/>
          <w:szCs w:val="28"/>
        </w:rPr>
        <w:t>全县的产业发展由农业主导向工业和服务业主导转变。三次产业结构明显优化，第一产业在产出稳定增长的同时，一产比重明显下降；第二产业产出继续明显增长，但产出比重稳定但略有下降；而同时第三产业产出明显增长，产出比重继续上升。总体产业结构出现“二三产业并举”的格局。第一产业实现产业化，第二产业发展循环经济，实现低碳生态工业发展模式，而第三产业中不仅传统服务业水平明显提高，包括商贸物流、旅游接待、科研信息、金融咨询等现代产业部门均取得明显发展。</w:t>
      </w:r>
    </w:p>
    <w:p w14:paraId="40707E5A">
      <w:pPr>
        <w:spacing w:line="360" w:lineRule="auto"/>
        <w:ind w:firstLine="560" w:firstLineChars="200"/>
        <w:rPr>
          <w:rFonts w:eastAsia="仿宋_GB2312"/>
          <w:sz w:val="28"/>
          <w:szCs w:val="28"/>
        </w:rPr>
      </w:pPr>
      <w:r>
        <w:rPr>
          <w:rFonts w:hint="eastAsia" w:eastAsia="仿宋_GB2312"/>
          <w:sz w:val="28"/>
          <w:szCs w:val="28"/>
        </w:rPr>
        <w:t>阶段货运需求呈现出由数量规模型转变为质量为主导，服务产品多样化特征。在不同经济发展阶段、产业结构、生产力布局的情况下，区域经济社会发展派生的货运需求不同，其货物运输需求的数量与质量也不同。在新型工业化、农业现代化发展阶段，城乡之间、区域之间的人员往来和商品交换都将快速增加，货物运输需求旺盛，除了大宗工业、农副产品外，小件商品更是会快速增加，同时，也必然产生大量的快速、高附加值货物运输需求，小件商品物流将向着快递化发展。</w:t>
      </w:r>
    </w:p>
    <w:p w14:paraId="37E34CEE">
      <w:pPr>
        <w:spacing w:line="360" w:lineRule="auto"/>
        <w:ind w:firstLine="562" w:firstLineChars="200"/>
        <w:rPr>
          <w:rFonts w:eastAsia="仿宋_GB2312"/>
          <w:b/>
          <w:bCs/>
          <w:sz w:val="28"/>
          <w:szCs w:val="28"/>
        </w:rPr>
      </w:pPr>
      <w:r>
        <w:rPr>
          <w:rFonts w:hint="eastAsia" w:eastAsia="仿宋_GB2312"/>
          <w:b/>
          <w:bCs/>
          <w:sz w:val="28"/>
          <w:szCs w:val="28"/>
        </w:rPr>
        <w:t>（2）突泉经济社会发展，必将促进地区货运需求“量”与“质”的快速增加</w:t>
      </w:r>
    </w:p>
    <w:p w14:paraId="71AEE560">
      <w:pPr>
        <w:spacing w:line="360" w:lineRule="auto"/>
        <w:ind w:firstLine="560" w:firstLineChars="200"/>
        <w:rPr>
          <w:rFonts w:eastAsia="仿宋_GB2312"/>
          <w:sz w:val="28"/>
          <w:szCs w:val="28"/>
        </w:rPr>
      </w:pPr>
      <w:r>
        <w:rPr>
          <w:rFonts w:hint="eastAsia" w:eastAsia="仿宋_GB2312"/>
          <w:sz w:val="28"/>
          <w:szCs w:val="28"/>
        </w:rPr>
        <w:t>经济社会发展水平决定了运输需求，经济的持续快速增长和经济总量的不断扩大，带动全社会运输需求规模不断增长。突泉处于通道的内外枢纽带，突泉外向型经济必将飞速发展。因此，随着突泉的经济发展，将促进其对外、内部货运需求的快速增长，未来物流业将成为突泉的支柱产业之一。</w:t>
      </w:r>
    </w:p>
    <w:p w14:paraId="7F255E07">
      <w:pPr>
        <w:spacing w:line="360" w:lineRule="auto"/>
        <w:ind w:firstLine="560" w:firstLineChars="200"/>
        <w:rPr>
          <w:rFonts w:eastAsia="仿宋_GB2312"/>
          <w:color w:val="FF0000"/>
          <w:sz w:val="28"/>
          <w:szCs w:val="28"/>
        </w:rPr>
      </w:pPr>
      <w:r>
        <w:rPr>
          <w:rFonts w:hint="eastAsia" w:eastAsia="仿宋_GB2312"/>
          <w:sz w:val="28"/>
          <w:szCs w:val="28"/>
        </w:rPr>
        <w:t>中国与周边国家毗邻地区交流合作进入了新的发展阶段，促进了北部地区外向型经济的发展，并且内蒙古省内边境口岸及对外大通道建设得到了各级政府的高度重视。因此，随着物流基础设施的建设运营，将会刺激物流产业的生长，从而使突泉物流迅速发展，进而促进运输需求的快速增长。</w:t>
      </w:r>
    </w:p>
    <w:p w14:paraId="7923E1DF">
      <w:pPr>
        <w:spacing w:line="360" w:lineRule="auto"/>
        <w:ind w:firstLine="560" w:firstLineChars="200"/>
        <w:rPr>
          <w:rFonts w:eastAsia="仿宋_GB2312"/>
          <w:sz w:val="28"/>
          <w:szCs w:val="28"/>
        </w:rPr>
      </w:pPr>
      <w:r>
        <w:rPr>
          <w:rFonts w:hint="eastAsia" w:eastAsia="仿宋_GB2312"/>
          <w:sz w:val="28"/>
          <w:szCs w:val="28"/>
        </w:rPr>
        <w:t>突泉作为产业承接地和重要国际与国内通道节点，是中央“一带一路”倡议实施的重要组成部分。突泉正在建设具有产品加工、包装、配送、仓储、运输等功能的物流中心和区域商业中心，构建外联国际，内通周边县市自治区的综合交通体系将有力推动中国与其他国家之间的物资、资本、人才、技术和信息流动的速度和效率。</w:t>
      </w:r>
    </w:p>
    <w:p w14:paraId="4D479EFE">
      <w:pPr>
        <w:spacing w:line="360" w:lineRule="auto"/>
        <w:ind w:firstLine="562" w:firstLineChars="200"/>
        <w:rPr>
          <w:rFonts w:eastAsia="仿宋_GB2312"/>
          <w:b/>
          <w:bCs/>
          <w:sz w:val="28"/>
          <w:szCs w:val="28"/>
        </w:rPr>
      </w:pPr>
      <w:r>
        <w:rPr>
          <w:rFonts w:hint="eastAsia" w:eastAsia="仿宋_GB2312"/>
          <w:b/>
          <w:bCs/>
          <w:sz w:val="28"/>
          <w:szCs w:val="28"/>
        </w:rPr>
        <w:t>（3）商贸物流产业园区的建设将进一步促进货运需求快速规模化增长，交通运输与商贸物流呈现交替拉动态势；</w:t>
      </w:r>
    </w:p>
    <w:p w14:paraId="769D72EA">
      <w:pPr>
        <w:spacing w:line="360" w:lineRule="auto"/>
        <w:ind w:firstLine="560" w:firstLineChars="200"/>
        <w:rPr>
          <w:rFonts w:eastAsia="仿宋_GB2312"/>
          <w:sz w:val="28"/>
          <w:szCs w:val="28"/>
        </w:rPr>
      </w:pPr>
      <w:r>
        <w:rPr>
          <w:rFonts w:hint="eastAsia" w:eastAsia="仿宋_GB2312"/>
          <w:sz w:val="28"/>
          <w:szCs w:val="28"/>
        </w:rPr>
        <w:t>交通运输基础设施是实现货物运输需求的物质基础，运输网络布局、规模、结构等因素，将决定运输系统的通过能力及其对货运需求的适应度。随着物流园区、综合运输通道、各等级路网逐步完善，将形成“点—线—面”三位一体的运输格局，同时随着电商、城乡公交服务水平的快速发展以及城乡物流一体化协调发展，必将进一步增加货运需求。因此，随着路网规模的扩大、等级结构的提升、运输设备技术性能，以及服务水平的提高，都将会促进货物运输总需求的增长。突泉现代物流升级转型，采用“物流园区+物流中心+配送中心”来解决突泉县现代物流，组成多层次物流构成服务体系是其现代物流系统建设的合理途径。突泉县现代物流业正在蓬勃发展。</w:t>
      </w:r>
    </w:p>
    <w:p w14:paraId="7D537BBB">
      <w:pPr>
        <w:spacing w:line="360" w:lineRule="auto"/>
        <w:rPr>
          <w:rFonts w:ascii="仿宋_GB2312" w:eastAsia="仿宋_GB2312"/>
          <w:b/>
          <w:sz w:val="28"/>
          <w:szCs w:val="28"/>
        </w:rPr>
      </w:pPr>
      <w:r>
        <w:rPr>
          <w:rFonts w:hint="eastAsia" w:ascii="仿宋_GB2312" w:eastAsia="仿宋_GB2312"/>
          <w:b/>
          <w:sz w:val="28"/>
          <w:szCs w:val="28"/>
        </w:rPr>
        <w:t>（二）货运总量需求预测</w:t>
      </w:r>
    </w:p>
    <w:p w14:paraId="1EE92C78">
      <w:pPr>
        <w:spacing w:line="360" w:lineRule="auto"/>
        <w:ind w:firstLine="560" w:firstLineChars="200"/>
        <w:rPr>
          <w:rFonts w:eastAsia="仿宋_GB2312"/>
          <w:sz w:val="28"/>
          <w:szCs w:val="28"/>
        </w:rPr>
      </w:pPr>
      <w:r>
        <w:rPr>
          <w:rFonts w:hint="eastAsia" w:eastAsia="仿宋_GB2312"/>
          <w:sz w:val="28"/>
          <w:szCs w:val="28"/>
        </w:rPr>
        <w:t>随着经济社会的发展，突泉县货运量逐年提高，从2013年560万吨增长到2017年的989万吨，年均增长率达到15.28%。由图可以看出，突泉县全社会货运量是呈逐年上升的趋势。从未来发展来看，突泉县经济将持续快速增长，未来突泉县的货运需求将呈稳步增长态势。2013 年以来突泉县全社会货运量情况见表。</w:t>
      </w:r>
    </w:p>
    <w:p w14:paraId="1F8C98BA">
      <w:pPr>
        <w:spacing w:line="360" w:lineRule="auto"/>
        <w:jc w:val="center"/>
        <w:rPr>
          <w:b/>
          <w:kern w:val="0"/>
          <w:sz w:val="24"/>
        </w:rPr>
      </w:pPr>
      <w:r>
        <w:rPr>
          <w:rFonts w:hint="eastAsia"/>
          <w:b/>
          <w:kern w:val="0"/>
          <w:sz w:val="24"/>
        </w:rPr>
        <w:t>表3-6  突泉县货运总量及G</w:t>
      </w:r>
      <w:r>
        <w:rPr>
          <w:b/>
          <w:kern w:val="0"/>
          <w:sz w:val="24"/>
        </w:rPr>
        <w:t>DP</w:t>
      </w:r>
      <w:r>
        <w:rPr>
          <w:rFonts w:hint="eastAsia"/>
          <w:b/>
          <w:kern w:val="0"/>
          <w:sz w:val="24"/>
        </w:rPr>
        <w:t>总量（部分）</w:t>
      </w:r>
    </w:p>
    <w:tbl>
      <w:tblPr>
        <w:tblStyle w:val="1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09"/>
        <w:gridCol w:w="1456"/>
        <w:gridCol w:w="1456"/>
        <w:gridCol w:w="1456"/>
        <w:gridCol w:w="1456"/>
        <w:gridCol w:w="1453"/>
      </w:tblGrid>
      <w:tr w14:paraId="0AE67C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282" w:type="pct"/>
            <w:vAlign w:val="center"/>
          </w:tcPr>
          <w:p w14:paraId="48A76686">
            <w:pPr>
              <w:spacing w:line="360" w:lineRule="auto"/>
              <w:jc w:val="center"/>
              <w:rPr>
                <w:rFonts w:ascii="等线" w:hAnsi="等线" w:eastAsia="等线" w:cs="等线"/>
                <w:sz w:val="24"/>
              </w:rPr>
            </w:pPr>
            <w:r>
              <w:rPr>
                <w:rFonts w:hint="eastAsia" w:ascii="等线" w:hAnsi="等线" w:eastAsia="等线" w:cs="等线"/>
                <w:sz w:val="24"/>
              </w:rPr>
              <w:t>年份</w:t>
            </w:r>
          </w:p>
        </w:tc>
        <w:tc>
          <w:tcPr>
            <w:tcW w:w="744" w:type="pct"/>
            <w:vAlign w:val="center"/>
          </w:tcPr>
          <w:p w14:paraId="5BBBDA0F">
            <w:pPr>
              <w:spacing w:line="360" w:lineRule="auto"/>
              <w:jc w:val="center"/>
              <w:rPr>
                <w:rFonts w:ascii="等线" w:hAnsi="等线" w:eastAsia="等线" w:cs="等线"/>
                <w:sz w:val="24"/>
              </w:rPr>
            </w:pPr>
            <w:r>
              <w:rPr>
                <w:rFonts w:hint="eastAsia" w:ascii="等线" w:hAnsi="等线" w:eastAsia="等线" w:cs="等线"/>
                <w:sz w:val="24"/>
              </w:rPr>
              <w:t>2013</w:t>
            </w:r>
          </w:p>
        </w:tc>
        <w:tc>
          <w:tcPr>
            <w:tcW w:w="744" w:type="pct"/>
            <w:vAlign w:val="center"/>
          </w:tcPr>
          <w:p w14:paraId="6FF26AF3">
            <w:pPr>
              <w:spacing w:line="360" w:lineRule="auto"/>
              <w:jc w:val="center"/>
              <w:rPr>
                <w:rFonts w:ascii="等线" w:hAnsi="等线" w:eastAsia="等线" w:cs="等线"/>
                <w:sz w:val="24"/>
              </w:rPr>
            </w:pPr>
            <w:r>
              <w:rPr>
                <w:rFonts w:hint="eastAsia" w:ascii="等线" w:hAnsi="等线" w:eastAsia="等线" w:cs="等线"/>
                <w:sz w:val="24"/>
              </w:rPr>
              <w:t>2014</w:t>
            </w:r>
          </w:p>
        </w:tc>
        <w:tc>
          <w:tcPr>
            <w:tcW w:w="744" w:type="pct"/>
            <w:vAlign w:val="center"/>
          </w:tcPr>
          <w:p w14:paraId="194CB1D8">
            <w:pPr>
              <w:spacing w:line="360" w:lineRule="auto"/>
              <w:jc w:val="center"/>
              <w:rPr>
                <w:rFonts w:ascii="等线" w:hAnsi="等线" w:eastAsia="等线" w:cs="等线"/>
                <w:sz w:val="24"/>
              </w:rPr>
            </w:pPr>
            <w:r>
              <w:rPr>
                <w:rFonts w:hint="eastAsia" w:ascii="等线" w:hAnsi="等线" w:eastAsia="等线" w:cs="等线"/>
                <w:sz w:val="24"/>
              </w:rPr>
              <w:t>2015</w:t>
            </w:r>
          </w:p>
        </w:tc>
        <w:tc>
          <w:tcPr>
            <w:tcW w:w="744" w:type="pct"/>
            <w:vAlign w:val="center"/>
          </w:tcPr>
          <w:p w14:paraId="65DC2B1F">
            <w:pPr>
              <w:spacing w:line="360" w:lineRule="auto"/>
              <w:jc w:val="center"/>
              <w:rPr>
                <w:rFonts w:ascii="等线" w:hAnsi="等线" w:eastAsia="等线" w:cs="等线"/>
                <w:sz w:val="24"/>
              </w:rPr>
            </w:pPr>
            <w:r>
              <w:rPr>
                <w:rFonts w:hint="eastAsia" w:ascii="等线" w:hAnsi="等线" w:eastAsia="等线" w:cs="等线"/>
                <w:sz w:val="24"/>
              </w:rPr>
              <w:t>2016</w:t>
            </w:r>
          </w:p>
        </w:tc>
        <w:tc>
          <w:tcPr>
            <w:tcW w:w="742" w:type="pct"/>
            <w:vAlign w:val="center"/>
          </w:tcPr>
          <w:p w14:paraId="4E63C593">
            <w:pPr>
              <w:spacing w:line="360" w:lineRule="auto"/>
              <w:jc w:val="center"/>
              <w:rPr>
                <w:rFonts w:ascii="等线" w:hAnsi="等线" w:eastAsia="等线" w:cs="等线"/>
                <w:sz w:val="24"/>
              </w:rPr>
            </w:pPr>
            <w:r>
              <w:rPr>
                <w:rFonts w:hint="eastAsia" w:ascii="等线" w:hAnsi="等线" w:eastAsia="等线" w:cs="等线"/>
                <w:sz w:val="24"/>
              </w:rPr>
              <w:t>2017</w:t>
            </w:r>
          </w:p>
        </w:tc>
      </w:tr>
      <w:tr w14:paraId="37ABB2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282" w:type="pct"/>
            <w:vAlign w:val="center"/>
          </w:tcPr>
          <w:p w14:paraId="57744E27">
            <w:pPr>
              <w:spacing w:line="360" w:lineRule="auto"/>
              <w:jc w:val="center"/>
              <w:rPr>
                <w:rFonts w:ascii="等线" w:hAnsi="等线" w:eastAsia="等线" w:cs="等线"/>
                <w:sz w:val="24"/>
              </w:rPr>
            </w:pPr>
            <w:r>
              <w:rPr>
                <w:rFonts w:hint="eastAsia" w:ascii="等线" w:hAnsi="等线" w:eastAsia="等线" w:cs="等线"/>
                <w:sz w:val="24"/>
              </w:rPr>
              <w:t>货运量（万吨）</w:t>
            </w:r>
          </w:p>
        </w:tc>
        <w:tc>
          <w:tcPr>
            <w:tcW w:w="744" w:type="pct"/>
            <w:vAlign w:val="center"/>
          </w:tcPr>
          <w:tbl>
            <w:tblPr>
              <w:tblStyle w:val="10"/>
              <w:tblW w:w="1034" w:type="dxa"/>
              <w:tblInd w:w="0" w:type="dxa"/>
              <w:tblLayout w:type="autofit"/>
              <w:tblCellMar>
                <w:top w:w="0" w:type="dxa"/>
                <w:left w:w="108" w:type="dxa"/>
                <w:bottom w:w="0" w:type="dxa"/>
                <w:right w:w="108" w:type="dxa"/>
              </w:tblCellMar>
            </w:tblPr>
            <w:tblGrid>
              <w:gridCol w:w="1034"/>
            </w:tblGrid>
            <w:tr w14:paraId="56E0C770">
              <w:trPr>
                <w:trHeight w:val="276" w:hRule="atLeast"/>
              </w:trPr>
              <w:tc>
                <w:tcPr>
                  <w:tcW w:w="1034" w:type="dxa"/>
                  <w:tcBorders>
                    <w:top w:val="nil"/>
                    <w:left w:val="nil"/>
                    <w:bottom w:val="nil"/>
                    <w:right w:val="nil"/>
                  </w:tcBorders>
                  <w:shd w:val="clear" w:color="auto" w:fill="auto"/>
                  <w:noWrap/>
                  <w:vAlign w:val="bottom"/>
                </w:tcPr>
                <w:p w14:paraId="40E44890">
                  <w:pPr>
                    <w:widowControl/>
                    <w:spacing w:line="360" w:lineRule="auto"/>
                    <w:jc w:val="center"/>
                    <w:rPr>
                      <w:rFonts w:ascii="等线" w:hAnsi="等线" w:eastAsia="等线" w:cs="宋体"/>
                      <w:color w:val="000000"/>
                      <w:kern w:val="0"/>
                      <w:sz w:val="24"/>
                    </w:rPr>
                  </w:pPr>
                  <w:r>
                    <w:rPr>
                      <w:rFonts w:hint="eastAsia" w:ascii="等线" w:hAnsi="等线" w:eastAsia="等线" w:cs="宋体"/>
                      <w:color w:val="000000"/>
                      <w:kern w:val="0"/>
                      <w:sz w:val="24"/>
                    </w:rPr>
                    <w:t>105</w:t>
                  </w:r>
                </w:p>
              </w:tc>
            </w:tr>
          </w:tbl>
          <w:p w14:paraId="0CE9E721">
            <w:pPr>
              <w:widowControl/>
              <w:spacing w:line="360" w:lineRule="auto"/>
              <w:jc w:val="center"/>
              <w:rPr>
                <w:rFonts w:ascii="等线" w:hAnsi="等线" w:eastAsia="等线"/>
                <w:color w:val="000000"/>
                <w:sz w:val="24"/>
              </w:rPr>
            </w:pPr>
          </w:p>
        </w:tc>
        <w:tc>
          <w:tcPr>
            <w:tcW w:w="744" w:type="pct"/>
            <w:vAlign w:val="center"/>
          </w:tcPr>
          <w:p w14:paraId="2098AE83">
            <w:pPr>
              <w:widowControl/>
              <w:spacing w:line="360" w:lineRule="auto"/>
              <w:jc w:val="center"/>
              <w:rPr>
                <w:rFonts w:ascii="等线" w:hAnsi="等线" w:eastAsia="等线"/>
                <w:color w:val="000000"/>
                <w:sz w:val="24"/>
              </w:rPr>
            </w:pPr>
            <w:r>
              <w:rPr>
                <w:rFonts w:hint="eastAsia" w:ascii="等线" w:hAnsi="等线" w:eastAsia="等线" w:cs="宋体"/>
                <w:color w:val="000000"/>
                <w:kern w:val="0"/>
                <w:sz w:val="24"/>
              </w:rPr>
              <w:t>163</w:t>
            </w:r>
          </w:p>
        </w:tc>
        <w:tc>
          <w:tcPr>
            <w:tcW w:w="744" w:type="pct"/>
            <w:vAlign w:val="center"/>
          </w:tcPr>
          <w:tbl>
            <w:tblPr>
              <w:tblStyle w:val="10"/>
              <w:tblW w:w="960" w:type="dxa"/>
              <w:tblInd w:w="0" w:type="dxa"/>
              <w:tblLayout w:type="autofit"/>
              <w:tblCellMar>
                <w:top w:w="0" w:type="dxa"/>
                <w:left w:w="108" w:type="dxa"/>
                <w:bottom w:w="0" w:type="dxa"/>
                <w:right w:w="108" w:type="dxa"/>
              </w:tblCellMar>
            </w:tblPr>
            <w:tblGrid>
              <w:gridCol w:w="960"/>
            </w:tblGrid>
            <w:tr w14:paraId="6B48B828">
              <w:tblPrEx>
                <w:tblCellMar>
                  <w:top w:w="0" w:type="dxa"/>
                  <w:left w:w="108" w:type="dxa"/>
                  <w:bottom w:w="0" w:type="dxa"/>
                  <w:right w:w="108" w:type="dxa"/>
                </w:tblCellMar>
              </w:tblPrEx>
              <w:trPr>
                <w:trHeight w:val="276" w:hRule="atLeast"/>
              </w:trPr>
              <w:tc>
                <w:tcPr>
                  <w:tcW w:w="960" w:type="dxa"/>
                  <w:tcBorders>
                    <w:top w:val="nil"/>
                    <w:left w:val="nil"/>
                    <w:bottom w:val="nil"/>
                    <w:right w:val="nil"/>
                  </w:tcBorders>
                  <w:shd w:val="clear" w:color="auto" w:fill="auto"/>
                  <w:noWrap/>
                  <w:vAlign w:val="bottom"/>
                </w:tcPr>
                <w:p w14:paraId="1438CC15">
                  <w:pPr>
                    <w:widowControl/>
                    <w:spacing w:line="360" w:lineRule="auto"/>
                    <w:ind w:right="220"/>
                    <w:jc w:val="center"/>
                    <w:rPr>
                      <w:rFonts w:ascii="等线" w:hAnsi="等线" w:eastAsia="等线" w:cs="宋体"/>
                      <w:color w:val="000000"/>
                      <w:kern w:val="0"/>
                      <w:sz w:val="24"/>
                    </w:rPr>
                  </w:pPr>
                  <w:r>
                    <w:rPr>
                      <w:rFonts w:hint="eastAsia" w:ascii="等线" w:hAnsi="等线" w:eastAsia="等线" w:cs="宋体"/>
                      <w:color w:val="000000"/>
                      <w:kern w:val="0"/>
                      <w:sz w:val="24"/>
                    </w:rPr>
                    <w:t>184</w:t>
                  </w:r>
                </w:p>
              </w:tc>
            </w:tr>
          </w:tbl>
          <w:p w14:paraId="40CD7A82">
            <w:pPr>
              <w:spacing w:line="360" w:lineRule="auto"/>
              <w:jc w:val="center"/>
              <w:rPr>
                <w:rFonts w:ascii="等线" w:hAnsi="等线" w:eastAsia="等线" w:cs="等线"/>
                <w:sz w:val="24"/>
              </w:rPr>
            </w:pPr>
          </w:p>
        </w:tc>
        <w:tc>
          <w:tcPr>
            <w:tcW w:w="744" w:type="pct"/>
            <w:vAlign w:val="center"/>
          </w:tcPr>
          <w:tbl>
            <w:tblPr>
              <w:tblStyle w:val="10"/>
              <w:tblW w:w="960" w:type="dxa"/>
              <w:tblInd w:w="0" w:type="dxa"/>
              <w:tblLayout w:type="autofit"/>
              <w:tblCellMar>
                <w:top w:w="0" w:type="dxa"/>
                <w:left w:w="108" w:type="dxa"/>
                <w:bottom w:w="0" w:type="dxa"/>
                <w:right w:w="108" w:type="dxa"/>
              </w:tblCellMar>
            </w:tblPr>
            <w:tblGrid>
              <w:gridCol w:w="960"/>
            </w:tblGrid>
            <w:tr w14:paraId="48EF2CE3">
              <w:tblPrEx>
                <w:tblCellMar>
                  <w:top w:w="0" w:type="dxa"/>
                  <w:left w:w="108" w:type="dxa"/>
                  <w:bottom w:w="0" w:type="dxa"/>
                  <w:right w:w="108" w:type="dxa"/>
                </w:tblCellMar>
              </w:tblPrEx>
              <w:trPr>
                <w:trHeight w:val="276" w:hRule="atLeast"/>
              </w:trPr>
              <w:tc>
                <w:tcPr>
                  <w:tcW w:w="960" w:type="dxa"/>
                  <w:tcBorders>
                    <w:top w:val="nil"/>
                    <w:left w:val="nil"/>
                    <w:bottom w:val="nil"/>
                    <w:right w:val="nil"/>
                  </w:tcBorders>
                  <w:shd w:val="clear" w:color="auto" w:fill="auto"/>
                  <w:noWrap/>
                  <w:vAlign w:val="bottom"/>
                </w:tcPr>
                <w:p w14:paraId="22FD3F70">
                  <w:pPr>
                    <w:widowControl/>
                    <w:spacing w:line="360" w:lineRule="auto"/>
                    <w:jc w:val="center"/>
                    <w:rPr>
                      <w:rFonts w:ascii="等线" w:hAnsi="等线" w:eastAsia="等线" w:cs="宋体"/>
                      <w:color w:val="000000"/>
                      <w:kern w:val="0"/>
                      <w:sz w:val="24"/>
                    </w:rPr>
                  </w:pPr>
                  <w:r>
                    <w:rPr>
                      <w:rFonts w:hint="eastAsia" w:ascii="等线" w:hAnsi="等线" w:eastAsia="等线" w:cs="宋体"/>
                      <w:color w:val="000000"/>
                      <w:kern w:val="0"/>
                      <w:sz w:val="24"/>
                    </w:rPr>
                    <w:t>205</w:t>
                  </w:r>
                </w:p>
              </w:tc>
            </w:tr>
          </w:tbl>
          <w:p w14:paraId="520A5D32">
            <w:pPr>
              <w:spacing w:line="360" w:lineRule="auto"/>
              <w:jc w:val="center"/>
              <w:rPr>
                <w:rFonts w:ascii="等线" w:hAnsi="等线" w:eastAsia="等线" w:cs="等线"/>
                <w:sz w:val="24"/>
              </w:rPr>
            </w:pPr>
          </w:p>
        </w:tc>
        <w:tc>
          <w:tcPr>
            <w:tcW w:w="742" w:type="pct"/>
            <w:vAlign w:val="bottom"/>
          </w:tcPr>
          <w:p w14:paraId="7BAFBD25">
            <w:pPr>
              <w:spacing w:line="360" w:lineRule="auto"/>
              <w:jc w:val="center"/>
              <w:rPr>
                <w:rFonts w:ascii="等线" w:hAnsi="等线" w:eastAsia="等线" w:cs="等线"/>
                <w:sz w:val="24"/>
              </w:rPr>
            </w:pPr>
            <w:r>
              <w:rPr>
                <w:rFonts w:hint="eastAsia" w:ascii="等线" w:hAnsi="等线" w:eastAsia="等线" w:cs="宋体"/>
                <w:color w:val="000000"/>
                <w:kern w:val="0"/>
                <w:sz w:val="24"/>
              </w:rPr>
              <w:t>261</w:t>
            </w:r>
          </w:p>
        </w:tc>
      </w:tr>
      <w:tr w14:paraId="68103A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282" w:type="pct"/>
            <w:vAlign w:val="center"/>
          </w:tcPr>
          <w:p w14:paraId="0EC67F64">
            <w:pPr>
              <w:spacing w:line="360" w:lineRule="auto"/>
              <w:jc w:val="center"/>
              <w:rPr>
                <w:rFonts w:ascii="等线" w:hAnsi="等线" w:eastAsia="等线" w:cs="等线"/>
                <w:sz w:val="24"/>
              </w:rPr>
            </w:pPr>
            <w:r>
              <w:rPr>
                <w:rFonts w:hint="eastAsia" w:ascii="等线" w:hAnsi="等线" w:eastAsia="等线" w:cs="等线"/>
                <w:sz w:val="24"/>
              </w:rPr>
              <w:t>G</w:t>
            </w:r>
            <w:r>
              <w:rPr>
                <w:rFonts w:ascii="等线" w:hAnsi="等线" w:eastAsia="等线" w:cs="等线"/>
                <w:sz w:val="24"/>
              </w:rPr>
              <w:t>DP</w:t>
            </w:r>
            <w:r>
              <w:rPr>
                <w:rFonts w:hint="eastAsia" w:ascii="等线" w:hAnsi="等线" w:eastAsia="等线" w:cs="等线"/>
                <w:sz w:val="24"/>
              </w:rPr>
              <w:t>（亿元）</w:t>
            </w:r>
          </w:p>
        </w:tc>
        <w:tc>
          <w:tcPr>
            <w:tcW w:w="744" w:type="pct"/>
            <w:vAlign w:val="center"/>
          </w:tcPr>
          <w:tbl>
            <w:tblPr>
              <w:tblStyle w:val="10"/>
              <w:tblW w:w="960" w:type="dxa"/>
              <w:tblInd w:w="0" w:type="dxa"/>
              <w:tblLayout w:type="autofit"/>
              <w:tblCellMar>
                <w:top w:w="0" w:type="dxa"/>
                <w:left w:w="108" w:type="dxa"/>
                <w:bottom w:w="0" w:type="dxa"/>
                <w:right w:w="108" w:type="dxa"/>
              </w:tblCellMar>
            </w:tblPr>
            <w:tblGrid>
              <w:gridCol w:w="960"/>
            </w:tblGrid>
            <w:tr w14:paraId="7682EF59">
              <w:tblPrEx>
                <w:tblCellMar>
                  <w:top w:w="0" w:type="dxa"/>
                  <w:left w:w="108" w:type="dxa"/>
                  <w:bottom w:w="0" w:type="dxa"/>
                  <w:right w:w="108" w:type="dxa"/>
                </w:tblCellMar>
              </w:tblPrEx>
              <w:trPr>
                <w:trHeight w:val="276" w:hRule="atLeast"/>
              </w:trPr>
              <w:tc>
                <w:tcPr>
                  <w:tcW w:w="960" w:type="dxa"/>
                  <w:tcBorders>
                    <w:top w:val="nil"/>
                    <w:left w:val="nil"/>
                    <w:bottom w:val="nil"/>
                    <w:right w:val="nil"/>
                  </w:tcBorders>
                  <w:shd w:val="clear" w:color="auto" w:fill="auto"/>
                  <w:noWrap/>
                  <w:vAlign w:val="bottom"/>
                </w:tcPr>
                <w:p w14:paraId="428390A8">
                  <w:pPr>
                    <w:widowControl/>
                    <w:spacing w:line="360" w:lineRule="auto"/>
                    <w:ind w:right="220"/>
                    <w:rPr>
                      <w:rFonts w:ascii="等线" w:hAnsi="等线" w:eastAsia="等线" w:cs="宋体"/>
                      <w:color w:val="000000"/>
                      <w:kern w:val="0"/>
                      <w:sz w:val="24"/>
                    </w:rPr>
                  </w:pPr>
                  <w:r>
                    <w:rPr>
                      <w:rFonts w:hint="eastAsia" w:ascii="等线" w:hAnsi="等线" w:eastAsia="等线" w:cs="宋体"/>
                      <w:color w:val="000000"/>
                      <w:kern w:val="0"/>
                      <w:sz w:val="24"/>
                    </w:rPr>
                    <w:t>60.6</w:t>
                  </w:r>
                </w:p>
              </w:tc>
            </w:tr>
          </w:tbl>
          <w:p w14:paraId="120243A2">
            <w:pPr>
              <w:widowControl/>
              <w:spacing w:line="360" w:lineRule="auto"/>
              <w:jc w:val="center"/>
              <w:rPr>
                <w:rFonts w:ascii="等线" w:hAnsi="等线" w:eastAsia="等线" w:cs="宋体"/>
                <w:kern w:val="0"/>
                <w:sz w:val="24"/>
              </w:rPr>
            </w:pPr>
          </w:p>
        </w:tc>
        <w:tc>
          <w:tcPr>
            <w:tcW w:w="744" w:type="pct"/>
            <w:vAlign w:val="center"/>
          </w:tcPr>
          <w:p w14:paraId="6ACFD85E">
            <w:pPr>
              <w:spacing w:line="360" w:lineRule="auto"/>
              <w:jc w:val="center"/>
              <w:rPr>
                <w:rFonts w:ascii="等线" w:hAnsi="等线" w:eastAsia="等线" w:cs="宋体"/>
                <w:kern w:val="0"/>
                <w:sz w:val="24"/>
              </w:rPr>
            </w:pPr>
            <w:r>
              <w:rPr>
                <w:rFonts w:hint="eastAsia" w:ascii="等线" w:hAnsi="等线" w:eastAsia="等线" w:cs="宋体"/>
                <w:color w:val="000000"/>
                <w:kern w:val="0"/>
                <w:sz w:val="24"/>
              </w:rPr>
              <w:t>66.4</w:t>
            </w:r>
          </w:p>
        </w:tc>
        <w:tc>
          <w:tcPr>
            <w:tcW w:w="744" w:type="pct"/>
            <w:vAlign w:val="bottom"/>
          </w:tcPr>
          <w:p w14:paraId="06CC6585">
            <w:pPr>
              <w:widowControl/>
              <w:spacing w:line="360" w:lineRule="auto"/>
              <w:jc w:val="center"/>
              <w:rPr>
                <w:rFonts w:ascii="等线" w:hAnsi="等线" w:eastAsia="等线" w:cs="宋体"/>
                <w:kern w:val="0"/>
                <w:sz w:val="24"/>
              </w:rPr>
            </w:pPr>
            <w:r>
              <w:rPr>
                <w:rFonts w:hint="eastAsia" w:ascii="等线" w:hAnsi="等线" w:eastAsia="等线" w:cs="宋体"/>
                <w:color w:val="000000"/>
                <w:kern w:val="0"/>
                <w:sz w:val="24"/>
              </w:rPr>
              <w:t>73.4</w:t>
            </w:r>
          </w:p>
        </w:tc>
        <w:tc>
          <w:tcPr>
            <w:tcW w:w="744" w:type="pct"/>
            <w:vAlign w:val="bottom"/>
          </w:tcPr>
          <w:p w14:paraId="0B25AC80">
            <w:pPr>
              <w:widowControl/>
              <w:spacing w:line="360" w:lineRule="auto"/>
              <w:jc w:val="center"/>
              <w:rPr>
                <w:rFonts w:ascii="等线" w:hAnsi="等线" w:eastAsia="等线" w:cs="宋体"/>
                <w:kern w:val="0"/>
                <w:sz w:val="24"/>
              </w:rPr>
            </w:pPr>
            <w:r>
              <w:rPr>
                <w:rFonts w:hint="eastAsia" w:ascii="等线" w:hAnsi="等线" w:eastAsia="等线" w:cs="宋体"/>
                <w:color w:val="000000"/>
                <w:kern w:val="0"/>
                <w:sz w:val="24"/>
              </w:rPr>
              <w:t>76.4</w:t>
            </w:r>
          </w:p>
        </w:tc>
        <w:tc>
          <w:tcPr>
            <w:tcW w:w="742" w:type="pct"/>
            <w:vAlign w:val="bottom"/>
          </w:tcPr>
          <w:p w14:paraId="19E7B7DF">
            <w:pPr>
              <w:widowControl/>
              <w:spacing w:line="360" w:lineRule="auto"/>
              <w:jc w:val="center"/>
              <w:rPr>
                <w:rFonts w:ascii="等线" w:hAnsi="等线" w:eastAsia="等线" w:cs="宋体"/>
                <w:kern w:val="0"/>
                <w:sz w:val="24"/>
              </w:rPr>
            </w:pPr>
            <w:r>
              <w:rPr>
                <w:rFonts w:hint="eastAsia" w:ascii="等线" w:hAnsi="等线" w:eastAsia="等线" w:cs="宋体"/>
                <w:color w:val="000000"/>
                <w:kern w:val="0"/>
                <w:sz w:val="24"/>
              </w:rPr>
              <w:t>78.6</w:t>
            </w:r>
          </w:p>
        </w:tc>
      </w:tr>
    </w:tbl>
    <w:p w14:paraId="7ADC5A5E">
      <w:pPr>
        <w:spacing w:line="360" w:lineRule="auto"/>
        <w:jc w:val="center"/>
        <w:rPr>
          <w:color w:val="FF0000"/>
          <w:sz w:val="28"/>
          <w:szCs w:val="28"/>
        </w:rPr>
      </w:pPr>
    </w:p>
    <w:p w14:paraId="2C84ACF2">
      <w:pPr>
        <w:spacing w:line="360" w:lineRule="auto"/>
        <w:jc w:val="center"/>
        <w:rPr>
          <w:color w:val="FF0000"/>
          <w:sz w:val="28"/>
          <w:szCs w:val="28"/>
        </w:rPr>
      </w:pPr>
      <w:r>
        <w:rPr>
          <w:sz w:val="28"/>
          <w:szCs w:val="28"/>
        </w:rPr>
        <w:drawing>
          <wp:inline distT="0" distB="0" distL="0" distR="0">
            <wp:extent cx="4572000" cy="2743200"/>
            <wp:effectExtent l="0" t="0" r="0" b="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2022787">
      <w:pPr>
        <w:spacing w:line="360" w:lineRule="auto"/>
        <w:jc w:val="center"/>
        <w:rPr>
          <w:b/>
          <w:kern w:val="0"/>
          <w:sz w:val="28"/>
          <w:szCs w:val="28"/>
        </w:rPr>
      </w:pPr>
      <w:r>
        <w:rPr>
          <w:rFonts w:hint="eastAsia"/>
          <w:sz w:val="28"/>
          <w:szCs w:val="28"/>
        </w:rPr>
        <w:t>图2</w:t>
      </w:r>
      <w:r>
        <w:rPr>
          <w:color w:val="FF0000"/>
          <w:sz w:val="28"/>
          <w:szCs w:val="28"/>
        </w:rPr>
        <w:t xml:space="preserve"> </w:t>
      </w:r>
      <w:r>
        <w:rPr>
          <w:rFonts w:hint="eastAsia"/>
          <w:b/>
          <w:kern w:val="0"/>
          <w:sz w:val="28"/>
          <w:szCs w:val="28"/>
        </w:rPr>
        <w:t>突泉县货运总量及G</w:t>
      </w:r>
      <w:r>
        <w:rPr>
          <w:b/>
          <w:kern w:val="0"/>
          <w:sz w:val="28"/>
          <w:szCs w:val="28"/>
        </w:rPr>
        <w:t>DP</w:t>
      </w:r>
      <w:r>
        <w:rPr>
          <w:rFonts w:hint="eastAsia"/>
          <w:b/>
          <w:kern w:val="0"/>
          <w:sz w:val="28"/>
          <w:szCs w:val="28"/>
        </w:rPr>
        <w:t>总量（部分）</w:t>
      </w:r>
    </w:p>
    <w:p w14:paraId="3A3A39D4">
      <w:pPr>
        <w:spacing w:line="360" w:lineRule="auto"/>
        <w:rPr>
          <w:rFonts w:eastAsia="仿宋_GB2312"/>
          <w:sz w:val="28"/>
          <w:szCs w:val="28"/>
        </w:rPr>
      </w:pPr>
      <w:r>
        <w:rPr>
          <w:rFonts w:hint="eastAsia" w:eastAsia="仿宋_GB2312"/>
          <w:sz w:val="28"/>
          <w:szCs w:val="28"/>
        </w:rPr>
        <w:t>（1）时间序列——趋势外推法</w:t>
      </w:r>
    </w:p>
    <w:p w14:paraId="4834ACA6">
      <w:pPr>
        <w:spacing w:line="360" w:lineRule="auto"/>
        <w:ind w:firstLine="560" w:firstLineChars="200"/>
        <w:rPr>
          <w:rFonts w:eastAsia="仿宋_GB2312"/>
          <w:sz w:val="28"/>
          <w:szCs w:val="28"/>
        </w:rPr>
      </w:pPr>
      <w:r>
        <w:rPr>
          <w:rFonts w:hint="eastAsia" w:eastAsia="仿宋_GB2312"/>
          <w:sz w:val="28"/>
          <w:szCs w:val="28"/>
        </w:rPr>
        <w:t>采用时间序列法中的趋势外推法对2025年、2030年全社会货运量进行预测，建立的拟合公式为</w:t>
      </w:r>
      <m:oMath>
        <m:r>
          <m:rPr/>
          <w:rPr>
            <w:rFonts w:hint="eastAsia" w:ascii="Cambria Math" w:hAnsi="Cambria Math" w:eastAsia="仿宋_GB2312"/>
            <w:sz w:val="28"/>
            <w:szCs w:val="28"/>
          </w:rPr>
          <m:t>y</m:t>
        </m:r>
        <m:r>
          <m:rPr/>
          <w:rPr>
            <w:rFonts w:ascii="Cambria Math" w:hAnsi="Cambria Math" w:eastAsia="仿宋_GB2312"/>
            <w:sz w:val="28"/>
            <w:szCs w:val="28"/>
          </w:rPr>
          <m:t>=35.4x−71147.</m:t>
        </m:r>
        <m:r>
          <m:rPr/>
          <w:rPr>
            <w:rFonts w:hint="eastAsia" w:ascii="Cambria Math" w:hAnsi="Cambria Math" w:eastAsia="仿宋_GB2312"/>
            <w:sz w:val="28"/>
            <w:szCs w:val="28"/>
          </w:rPr>
          <m:t>40</m:t>
        </m:r>
      </m:oMath>
      <w:r>
        <w:rPr>
          <w:rFonts w:hint="eastAsia" w:eastAsia="仿宋_GB2312"/>
          <w:sz w:val="28"/>
          <w:szCs w:val="28"/>
        </w:rPr>
        <w:t>。最终预测结果见表。</w:t>
      </w:r>
    </w:p>
    <w:p w14:paraId="16264E1F">
      <w:pPr>
        <w:spacing w:line="360" w:lineRule="auto"/>
        <w:jc w:val="center"/>
        <w:rPr>
          <w:b/>
          <w:kern w:val="0"/>
          <w:sz w:val="24"/>
        </w:rPr>
      </w:pPr>
      <w:r>
        <w:rPr>
          <w:rFonts w:hint="eastAsia"/>
          <w:b/>
          <w:kern w:val="0"/>
          <w:sz w:val="24"/>
        </w:rPr>
        <w:t>表3-7  突泉县货运量预测</w:t>
      </w:r>
    </w:p>
    <w:tbl>
      <w:tblPr>
        <w:tblStyle w:val="1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0"/>
        <w:gridCol w:w="2842"/>
      </w:tblGrid>
      <w:tr w14:paraId="57D75B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22EB57E7">
            <w:pPr>
              <w:spacing w:line="360" w:lineRule="auto"/>
              <w:jc w:val="center"/>
              <w:rPr>
                <w:rFonts w:ascii="等线" w:hAnsi="等线" w:eastAsia="等线" w:cs="等线"/>
                <w:sz w:val="24"/>
              </w:rPr>
            </w:pPr>
            <w:r>
              <w:rPr>
                <w:rFonts w:hint="eastAsia" w:ascii="等线" w:hAnsi="等线" w:eastAsia="等线" w:cs="等线"/>
                <w:sz w:val="24"/>
              </w:rPr>
              <w:t>年份</w:t>
            </w:r>
          </w:p>
        </w:tc>
        <w:tc>
          <w:tcPr>
            <w:tcW w:w="2840" w:type="dxa"/>
            <w:vAlign w:val="center"/>
          </w:tcPr>
          <w:p w14:paraId="4F3E9992">
            <w:pPr>
              <w:spacing w:line="360" w:lineRule="auto"/>
              <w:jc w:val="center"/>
              <w:rPr>
                <w:rFonts w:ascii="等线" w:hAnsi="等线" w:eastAsia="等线" w:cs="等线"/>
                <w:sz w:val="24"/>
              </w:rPr>
            </w:pPr>
            <w:r>
              <w:rPr>
                <w:rFonts w:hint="eastAsia" w:ascii="等线" w:hAnsi="等线" w:eastAsia="等线" w:cs="等线"/>
                <w:sz w:val="24"/>
              </w:rPr>
              <w:t>2025</w:t>
            </w:r>
          </w:p>
        </w:tc>
        <w:tc>
          <w:tcPr>
            <w:tcW w:w="2842" w:type="dxa"/>
            <w:vAlign w:val="center"/>
          </w:tcPr>
          <w:p w14:paraId="05C5AF7F">
            <w:pPr>
              <w:spacing w:line="360" w:lineRule="auto"/>
              <w:jc w:val="center"/>
              <w:rPr>
                <w:rFonts w:ascii="等线" w:hAnsi="等线" w:eastAsia="等线" w:cs="等线"/>
                <w:sz w:val="24"/>
              </w:rPr>
            </w:pPr>
            <w:r>
              <w:rPr>
                <w:rFonts w:hint="eastAsia" w:ascii="等线" w:hAnsi="等线" w:eastAsia="等线" w:cs="等线"/>
                <w:sz w:val="24"/>
              </w:rPr>
              <w:t>2030</w:t>
            </w:r>
          </w:p>
        </w:tc>
      </w:tr>
      <w:tr w14:paraId="7DA4B4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4E0489A7">
            <w:pPr>
              <w:spacing w:line="360" w:lineRule="auto"/>
              <w:jc w:val="center"/>
              <w:rPr>
                <w:rFonts w:ascii="等线" w:hAnsi="等线" w:eastAsia="等线" w:cs="等线"/>
                <w:sz w:val="24"/>
              </w:rPr>
            </w:pPr>
            <w:r>
              <w:rPr>
                <w:rFonts w:hint="eastAsia" w:ascii="等线" w:hAnsi="等线" w:eastAsia="等线" w:cs="等线"/>
                <w:sz w:val="24"/>
              </w:rPr>
              <w:t>预测值（万吨）</w:t>
            </w:r>
          </w:p>
        </w:tc>
        <w:tc>
          <w:tcPr>
            <w:tcW w:w="2840" w:type="dxa"/>
            <w:vAlign w:val="center"/>
          </w:tcPr>
          <w:p w14:paraId="172DA513">
            <w:pPr>
              <w:spacing w:line="360" w:lineRule="auto"/>
              <w:jc w:val="center"/>
              <w:rPr>
                <w:rFonts w:ascii="等线" w:hAnsi="等线" w:eastAsia="等线" w:cs="等线"/>
                <w:sz w:val="24"/>
              </w:rPr>
            </w:pPr>
            <w:r>
              <w:rPr>
                <w:rFonts w:hint="eastAsia" w:ascii="Consolas" w:hAnsi="Consolas" w:cs="Consolas" w:eastAsiaTheme="minorEastAsia"/>
                <w:color w:val="000000"/>
                <w:kern w:val="0"/>
                <w:sz w:val="24"/>
              </w:rPr>
              <w:t>537.6</w:t>
            </w:r>
          </w:p>
        </w:tc>
        <w:tc>
          <w:tcPr>
            <w:tcW w:w="2842" w:type="dxa"/>
            <w:vAlign w:val="center"/>
          </w:tcPr>
          <w:p w14:paraId="26DD9944">
            <w:pPr>
              <w:spacing w:line="360" w:lineRule="auto"/>
              <w:jc w:val="center"/>
              <w:rPr>
                <w:rFonts w:ascii="等线" w:hAnsi="等线" w:eastAsia="等线" w:cs="等线"/>
                <w:sz w:val="24"/>
              </w:rPr>
            </w:pPr>
            <w:r>
              <w:rPr>
                <w:rFonts w:hint="eastAsia" w:ascii="等线" w:hAnsi="等线" w:eastAsia="等线" w:cs="等线"/>
                <w:sz w:val="24"/>
              </w:rPr>
              <w:t>714.6</w:t>
            </w:r>
          </w:p>
        </w:tc>
      </w:tr>
    </w:tbl>
    <w:p w14:paraId="39624823">
      <w:pPr>
        <w:spacing w:line="360" w:lineRule="auto"/>
        <w:rPr>
          <w:rFonts w:eastAsia="仿宋_GB2312"/>
          <w:sz w:val="28"/>
          <w:szCs w:val="28"/>
        </w:rPr>
      </w:pPr>
      <w:r>
        <w:rPr>
          <w:rFonts w:hint="eastAsia" w:eastAsia="仿宋_GB2312"/>
          <w:sz w:val="28"/>
          <w:szCs w:val="28"/>
        </w:rPr>
        <w:t>（2）回归分析法</w:t>
      </w:r>
    </w:p>
    <w:p w14:paraId="6004D512">
      <w:pPr>
        <w:spacing w:line="360" w:lineRule="auto"/>
        <w:ind w:firstLine="560" w:firstLineChars="200"/>
        <w:rPr>
          <w:rFonts w:eastAsia="仿宋_GB2312"/>
          <w:sz w:val="28"/>
          <w:szCs w:val="28"/>
        </w:rPr>
      </w:pPr>
      <w:r>
        <w:rPr>
          <w:rFonts w:hint="eastAsia" w:eastAsia="仿宋_GB2312"/>
          <w:sz w:val="28"/>
          <w:szCs w:val="28"/>
        </w:rPr>
        <w:t>货运量的发展水平与地区生产总值、人口等因素密切相关，通过对历史数据做相关性分析，突泉县全社会货运量与地区生产总值具有较强的相关性，相关性在95%以上。因此选取地区生产总值作为回归分析预测的自变量。利用历史数据建立回归模型如下：</w:t>
      </w:r>
      <m:oMath>
        <m:r>
          <m:rPr/>
          <w:rPr>
            <w:rFonts w:hint="eastAsia" w:ascii="Cambria Math" w:hAnsi="Cambria Math" w:eastAsia="仿宋_GB2312"/>
            <w:sz w:val="28"/>
            <w:szCs w:val="28"/>
          </w:rPr>
          <m:t>y</m:t>
        </m:r>
        <m:r>
          <m:rPr/>
          <w:rPr>
            <w:rFonts w:ascii="Cambria Math" w:hAnsi="Cambria Math" w:eastAsia="仿宋_GB2312"/>
            <w:sz w:val="28"/>
            <w:szCs w:val="28"/>
          </w:rPr>
          <m:t>=</m:t>
        </m:r>
      </m:oMath>
      <w:r>
        <w:rPr>
          <w:rFonts w:eastAsia="仿宋_GB2312"/>
          <w:sz w:val="28"/>
          <w:szCs w:val="28"/>
        </w:rPr>
        <w:t>7.284</w:t>
      </w:r>
      <w:r>
        <w:rPr>
          <w:rFonts w:hint="eastAsia" w:eastAsia="仿宋_GB2312"/>
          <w:sz w:val="28"/>
          <w:szCs w:val="28"/>
        </w:rPr>
        <w:t>7</w:t>
      </w:r>
      <m:oMath>
        <m:r>
          <m:rPr/>
          <w:rPr>
            <w:rFonts w:ascii="Cambria Math" w:hAnsi="Cambria Math" w:eastAsia="仿宋_GB2312"/>
            <w:sz w:val="28"/>
            <w:szCs w:val="28"/>
          </w:rPr>
          <m:t xml:space="preserve"> x</m:t>
        </m:r>
      </m:oMath>
      <w:r>
        <w:rPr>
          <w:rFonts w:eastAsia="仿宋_GB2312"/>
          <w:sz w:val="28"/>
          <w:szCs w:val="28"/>
        </w:rPr>
        <w:t>-334.193</w:t>
      </w:r>
      <w:r>
        <w:rPr>
          <w:rFonts w:hint="eastAsia" w:eastAsia="仿宋_GB2312"/>
          <w:sz w:val="28"/>
          <w:szCs w:val="28"/>
        </w:rPr>
        <w:t>2。最终预测结果见表。</w:t>
      </w:r>
    </w:p>
    <w:p w14:paraId="7B14CD44">
      <w:pPr>
        <w:spacing w:line="360" w:lineRule="auto"/>
        <w:jc w:val="center"/>
        <w:rPr>
          <w:b/>
          <w:kern w:val="0"/>
          <w:sz w:val="24"/>
        </w:rPr>
      </w:pPr>
      <w:r>
        <w:rPr>
          <w:rFonts w:hint="eastAsia"/>
          <w:b/>
          <w:kern w:val="0"/>
          <w:sz w:val="24"/>
        </w:rPr>
        <w:t>表3-8  突泉县货运量预测</w:t>
      </w:r>
    </w:p>
    <w:tbl>
      <w:tblPr>
        <w:tblStyle w:val="1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0"/>
        <w:gridCol w:w="2842"/>
      </w:tblGrid>
      <w:tr w14:paraId="7D8569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1BA95978">
            <w:pPr>
              <w:spacing w:line="360" w:lineRule="auto"/>
              <w:jc w:val="center"/>
              <w:rPr>
                <w:rFonts w:ascii="等线" w:hAnsi="等线" w:eastAsia="等线" w:cs="等线"/>
                <w:sz w:val="24"/>
              </w:rPr>
            </w:pPr>
            <w:r>
              <w:rPr>
                <w:rFonts w:hint="eastAsia" w:ascii="等线" w:hAnsi="等线" w:eastAsia="等线" w:cs="等线"/>
                <w:sz w:val="24"/>
              </w:rPr>
              <w:t>年份</w:t>
            </w:r>
          </w:p>
        </w:tc>
        <w:tc>
          <w:tcPr>
            <w:tcW w:w="2840" w:type="dxa"/>
            <w:vAlign w:val="center"/>
          </w:tcPr>
          <w:p w14:paraId="56BB0A76">
            <w:pPr>
              <w:spacing w:line="360" w:lineRule="auto"/>
              <w:jc w:val="center"/>
              <w:rPr>
                <w:rFonts w:ascii="等线" w:hAnsi="等线" w:eastAsia="等线" w:cs="等线"/>
                <w:sz w:val="24"/>
              </w:rPr>
            </w:pPr>
            <w:r>
              <w:rPr>
                <w:rFonts w:hint="eastAsia" w:ascii="等线" w:hAnsi="等线" w:eastAsia="等线" w:cs="等线"/>
                <w:sz w:val="24"/>
              </w:rPr>
              <w:t>2025</w:t>
            </w:r>
          </w:p>
        </w:tc>
        <w:tc>
          <w:tcPr>
            <w:tcW w:w="2842" w:type="dxa"/>
            <w:vAlign w:val="center"/>
          </w:tcPr>
          <w:p w14:paraId="7BC5BBF9">
            <w:pPr>
              <w:spacing w:line="360" w:lineRule="auto"/>
              <w:jc w:val="center"/>
              <w:rPr>
                <w:rFonts w:ascii="等线" w:hAnsi="等线" w:eastAsia="等线" w:cs="等线"/>
                <w:sz w:val="24"/>
              </w:rPr>
            </w:pPr>
            <w:r>
              <w:rPr>
                <w:rFonts w:hint="eastAsia" w:ascii="等线" w:hAnsi="等线" w:eastAsia="等线" w:cs="等线"/>
                <w:sz w:val="24"/>
              </w:rPr>
              <w:t>2030</w:t>
            </w:r>
          </w:p>
        </w:tc>
      </w:tr>
      <w:tr w14:paraId="0D1999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0C2865E1">
            <w:pPr>
              <w:spacing w:line="360" w:lineRule="auto"/>
              <w:jc w:val="center"/>
              <w:rPr>
                <w:rFonts w:ascii="等线" w:hAnsi="等线" w:eastAsia="等线" w:cs="等线"/>
                <w:sz w:val="24"/>
              </w:rPr>
            </w:pPr>
            <w:r>
              <w:rPr>
                <w:rFonts w:hint="eastAsia" w:ascii="等线" w:hAnsi="等线" w:eastAsia="等线" w:cs="等线"/>
                <w:sz w:val="24"/>
              </w:rPr>
              <w:t>预测值（万吨）</w:t>
            </w:r>
          </w:p>
        </w:tc>
        <w:tc>
          <w:tcPr>
            <w:tcW w:w="2840" w:type="dxa"/>
            <w:vAlign w:val="center"/>
          </w:tcPr>
          <w:p w14:paraId="47E3656D">
            <w:pPr>
              <w:spacing w:line="360" w:lineRule="auto"/>
              <w:jc w:val="center"/>
              <w:rPr>
                <w:rFonts w:ascii="等线" w:hAnsi="等线" w:eastAsia="等线" w:cs="等线"/>
                <w:sz w:val="24"/>
              </w:rPr>
            </w:pPr>
            <w:r>
              <w:rPr>
                <w:rFonts w:hint="eastAsia" w:ascii="Consolas" w:hAnsi="Consolas" w:cs="Consolas" w:eastAsiaTheme="minorEastAsia"/>
                <w:color w:val="000000"/>
                <w:kern w:val="0"/>
                <w:sz w:val="24"/>
              </w:rPr>
              <w:t>363.68</w:t>
            </w:r>
          </w:p>
        </w:tc>
        <w:tc>
          <w:tcPr>
            <w:tcW w:w="2842" w:type="dxa"/>
            <w:vAlign w:val="center"/>
          </w:tcPr>
          <w:p w14:paraId="34CF7ACF">
            <w:pPr>
              <w:spacing w:line="360" w:lineRule="auto"/>
              <w:jc w:val="center"/>
              <w:rPr>
                <w:rFonts w:ascii="等线" w:hAnsi="等线" w:eastAsia="等线" w:cs="等线"/>
                <w:sz w:val="24"/>
              </w:rPr>
            </w:pPr>
            <w:r>
              <w:rPr>
                <w:rFonts w:hint="eastAsia" w:ascii="Consolas" w:hAnsi="Consolas" w:cs="Consolas" w:eastAsiaTheme="minorEastAsia"/>
                <w:color w:val="000000"/>
                <w:kern w:val="0"/>
                <w:sz w:val="24"/>
              </w:rPr>
              <w:t>547.256</w:t>
            </w:r>
          </w:p>
        </w:tc>
      </w:tr>
    </w:tbl>
    <w:p w14:paraId="3CFCE51A">
      <w:pPr>
        <w:spacing w:line="360" w:lineRule="auto"/>
        <w:rPr>
          <w:rFonts w:eastAsia="仿宋_GB2312"/>
          <w:sz w:val="28"/>
          <w:szCs w:val="28"/>
        </w:rPr>
      </w:pPr>
      <w:r>
        <w:rPr>
          <w:rFonts w:hint="eastAsia" w:eastAsia="仿宋_GB2312"/>
          <w:sz w:val="28"/>
          <w:szCs w:val="28"/>
        </w:rPr>
        <w:t>（3）灰色预测模型</w:t>
      </w:r>
    </w:p>
    <w:p w14:paraId="5977F0FF">
      <w:pPr>
        <w:spacing w:line="360" w:lineRule="auto"/>
        <w:ind w:firstLine="560" w:firstLineChars="200"/>
        <w:rPr>
          <w:rFonts w:eastAsia="仿宋_GB2312"/>
          <w:sz w:val="28"/>
          <w:szCs w:val="28"/>
        </w:rPr>
      </w:pPr>
      <w:r>
        <w:rPr>
          <w:rFonts w:hint="eastAsia" w:eastAsia="仿宋_GB2312"/>
          <w:sz w:val="28"/>
          <w:szCs w:val="28"/>
        </w:rPr>
        <w:t>灰色系统介于白色和黑色之间，灰色系统内的一部分信息是已知的，另一部分信息是未知的，系统内各因素间有不确定的关系灰色预测通过鉴别系统因素之间发展趋势的相异程度，即进行关联分析，并对原始数据进行生成处理来寻找系统变动的规律，生成有较强规律性的数据序列，然后建立相应的微分方程模型，从而预测事物未来发展趋势的状况。尽管客观表象复杂，但总是有整体功能的，因此必然蕴含某种内在规律。关键在于如何选择适当的方式去挖掘和利用它。</w:t>
      </w:r>
    </w:p>
    <w:p w14:paraId="44D3D671">
      <w:pPr>
        <w:spacing w:line="360" w:lineRule="auto"/>
        <w:ind w:firstLine="560" w:firstLineChars="200"/>
        <w:rPr>
          <w:rFonts w:eastAsia="仿宋_GB2312"/>
          <w:sz w:val="28"/>
          <w:szCs w:val="28"/>
        </w:rPr>
      </w:pPr>
      <w:r>
        <w:rPr>
          <w:rFonts w:hint="eastAsia" w:eastAsia="仿宋_GB2312"/>
          <w:sz w:val="28"/>
          <w:szCs w:val="28"/>
        </w:rPr>
        <w:t>突泉县货运量基础数据不足，发展趋势不明显，关联程度并不直观，此系统可作为一个灰色系统，并对原始数据的整理来寻求其变化规律，通过某种生成弱化其随机性，显现其规律性。因此可以采用灰色预测模型。</w:t>
      </w:r>
    </w:p>
    <w:p w14:paraId="3707AAA0">
      <w:pPr>
        <w:autoSpaceDE w:val="0"/>
        <w:autoSpaceDN w:val="0"/>
        <w:adjustRightInd w:val="0"/>
        <w:spacing w:line="360" w:lineRule="auto"/>
        <w:ind w:firstLine="516"/>
        <w:jc w:val="left"/>
        <w:rPr>
          <w:rFonts w:hint="eastAsia" w:eastAsia="仿宋_GB2312"/>
          <w:sz w:val="28"/>
          <w:szCs w:val="28"/>
          <w:lang w:eastAsia="zh-CN"/>
        </w:rPr>
      </w:pPr>
      <w:r>
        <w:rPr>
          <w:rFonts w:hint="eastAsia" w:eastAsia="仿宋_GB2312"/>
          <w:sz w:val="28"/>
          <w:szCs w:val="28"/>
        </w:rPr>
        <w:t>根据2010-2014年突泉县货运量的基础数据分析预测，采用灰色预测模型得到此系统的灰色序列如下：</w:t>
      </w:r>
    </w:p>
    <w:p w14:paraId="3AFC5CF7">
      <w:pPr>
        <w:autoSpaceDE w:val="0"/>
        <w:autoSpaceDN w:val="0"/>
        <w:adjustRightInd w:val="0"/>
        <w:spacing w:line="360" w:lineRule="auto"/>
        <w:ind w:firstLine="516"/>
        <w:jc w:val="left"/>
        <w:rPr>
          <w:rFonts w:ascii="Courier New" w:hAnsi="Courier New" w:cs="Courier New" w:eastAsiaTheme="minorEastAsia"/>
          <w:color w:val="000000"/>
          <w:kern w:val="0"/>
          <w:sz w:val="28"/>
          <w:szCs w:val="28"/>
        </w:rPr>
      </w:pPr>
      <m:oMathPara>
        <m:oMath>
          <m:sSup>
            <m:sSupPr>
              <m:ctrlPr>
                <w:rPr>
                  <w:rFonts w:ascii="Cambria Math" w:hAnsi="Cambria Math" w:cs="Courier New" w:eastAsiaTheme="minorEastAsia"/>
                  <w:i/>
                  <w:color w:val="000000"/>
                  <w:kern w:val="0"/>
                  <w:sz w:val="28"/>
                  <w:szCs w:val="28"/>
                </w:rPr>
              </m:ctrlPr>
            </m:sSupPr>
            <m:e>
              <m:acc>
                <m:accPr>
                  <m:ctrlPr>
                    <w:rPr>
                      <w:rFonts w:ascii="Cambria Math" w:hAnsi="Cambria Math" w:cs="Courier New" w:eastAsiaTheme="minorEastAsia"/>
                      <w:i/>
                      <w:color w:val="000000"/>
                      <w:kern w:val="0"/>
                      <w:sz w:val="28"/>
                      <w:szCs w:val="28"/>
                    </w:rPr>
                  </m:ctrlPr>
                </m:accPr>
                <m:e>
                  <m:r>
                    <m:rPr/>
                    <w:rPr>
                      <w:rFonts w:ascii="Cambria Math" w:hAnsi="Cambria Math" w:cs="Courier New" w:eastAsiaTheme="minorEastAsia"/>
                      <w:color w:val="000000"/>
                      <w:kern w:val="0"/>
                      <w:sz w:val="28"/>
                      <w:szCs w:val="28"/>
                    </w:rPr>
                    <m:t>x</m:t>
                  </m:r>
                  <m:ctrlPr>
                    <w:rPr>
                      <w:rFonts w:ascii="Cambria Math" w:hAnsi="Cambria Math" w:cs="Courier New" w:eastAsiaTheme="minorEastAsia"/>
                      <w:i/>
                      <w:color w:val="000000"/>
                      <w:kern w:val="0"/>
                      <w:sz w:val="28"/>
                      <w:szCs w:val="28"/>
                    </w:rPr>
                  </m:ctrlPr>
                </m:e>
              </m:acc>
              <m:ctrlPr>
                <w:rPr>
                  <w:rFonts w:ascii="Cambria Math" w:hAnsi="Cambria Math" w:cs="Courier New" w:eastAsiaTheme="minorEastAsia"/>
                  <w:i/>
                  <w:color w:val="000000"/>
                  <w:kern w:val="0"/>
                  <w:sz w:val="28"/>
                  <w:szCs w:val="28"/>
                </w:rPr>
              </m:ctrlPr>
            </m:e>
            <m:sup>
              <m:d>
                <m:dPr>
                  <m:ctrlPr>
                    <w:rPr>
                      <w:rFonts w:ascii="Cambria Math" w:hAnsi="Cambria Math" w:cs="Courier New" w:eastAsiaTheme="minorEastAsia"/>
                      <w:i/>
                      <w:color w:val="000000"/>
                      <w:kern w:val="0"/>
                      <w:sz w:val="28"/>
                      <w:szCs w:val="28"/>
                    </w:rPr>
                  </m:ctrlPr>
                </m:dPr>
                <m:e>
                  <m:r>
                    <m:rPr/>
                    <w:rPr>
                      <w:rFonts w:ascii="Cambria Math" w:hAnsi="Cambria Math" w:cs="Courier New" w:eastAsiaTheme="minorEastAsia"/>
                      <w:color w:val="000000"/>
                      <w:kern w:val="0"/>
                      <w:sz w:val="28"/>
                      <w:szCs w:val="28"/>
                    </w:rPr>
                    <m:t>1</m:t>
                  </m:r>
                  <m:ctrlPr>
                    <w:rPr>
                      <w:rFonts w:ascii="Cambria Math" w:hAnsi="Cambria Math" w:cs="Courier New" w:eastAsiaTheme="minorEastAsia"/>
                      <w:i/>
                      <w:color w:val="000000"/>
                      <w:kern w:val="0"/>
                      <w:sz w:val="28"/>
                      <w:szCs w:val="28"/>
                    </w:rPr>
                  </m:ctrlPr>
                </m:e>
              </m:d>
              <m:ctrlPr>
                <w:rPr>
                  <w:rFonts w:ascii="Cambria Math" w:hAnsi="Cambria Math" w:cs="Courier New" w:eastAsiaTheme="minorEastAsia"/>
                  <w:i/>
                  <w:color w:val="000000"/>
                  <w:kern w:val="0"/>
                  <w:sz w:val="28"/>
                  <w:szCs w:val="28"/>
                </w:rPr>
              </m:ctrlPr>
            </m:sup>
          </m:sSup>
          <m:d>
            <m:dPr>
              <m:ctrlPr>
                <w:rPr>
                  <w:rFonts w:ascii="Cambria Math" w:hAnsi="Cambria Math" w:cs="Courier New" w:eastAsiaTheme="minorEastAsia"/>
                  <w:i/>
                  <w:color w:val="000000"/>
                  <w:kern w:val="0"/>
                  <w:sz w:val="28"/>
                  <w:szCs w:val="28"/>
                </w:rPr>
              </m:ctrlPr>
            </m:dPr>
            <m:e>
              <m:r>
                <m:rPr/>
                <w:rPr>
                  <w:rFonts w:ascii="Cambria Math" w:hAnsi="Cambria Math" w:cs="Courier New" w:eastAsiaTheme="minorEastAsia"/>
                  <w:color w:val="000000"/>
                  <w:kern w:val="0"/>
                  <w:sz w:val="28"/>
                  <w:szCs w:val="28"/>
                </w:rPr>
                <m:t>k+1</m:t>
              </m:r>
              <m:ctrlPr>
                <w:rPr>
                  <w:rFonts w:ascii="Cambria Math" w:hAnsi="Cambria Math" w:cs="Courier New" w:eastAsiaTheme="minorEastAsia"/>
                  <w:i/>
                  <w:color w:val="000000"/>
                  <w:kern w:val="0"/>
                  <w:sz w:val="28"/>
                  <w:szCs w:val="28"/>
                </w:rPr>
              </m:ctrlPr>
            </m:e>
          </m:d>
          <m:r>
            <m:rPr/>
            <w:rPr>
              <w:rFonts w:ascii="Cambria Math" w:hAnsi="Cambria Math" w:cs="Courier New" w:eastAsiaTheme="minorEastAsia"/>
              <w:color w:val="000000"/>
              <w:kern w:val="0"/>
              <w:sz w:val="28"/>
              <w:szCs w:val="28"/>
            </w:rPr>
            <m:t>=</m:t>
          </m:r>
          <m:d>
            <m:dPr>
              <m:ctrlPr>
                <w:rPr>
                  <w:rFonts w:ascii="Cambria Math" w:hAnsi="Cambria Math" w:cs="Courier New" w:eastAsiaTheme="minorEastAsia"/>
                  <w:i/>
                  <w:color w:val="000000"/>
                  <w:kern w:val="0"/>
                  <w:sz w:val="28"/>
                  <w:szCs w:val="28"/>
                </w:rPr>
              </m:ctrlPr>
            </m:dPr>
            <m:e>
              <m:sSup>
                <m:sSupPr>
                  <m:ctrlPr>
                    <w:rPr>
                      <w:rFonts w:ascii="Cambria Math" w:hAnsi="Cambria Math" w:cs="Courier New" w:eastAsiaTheme="minorEastAsia"/>
                      <w:i/>
                      <w:color w:val="000000"/>
                      <w:kern w:val="0"/>
                      <w:sz w:val="28"/>
                      <w:szCs w:val="28"/>
                    </w:rPr>
                  </m:ctrlPr>
                </m:sSupPr>
                <m:e>
                  <m:r>
                    <m:rPr/>
                    <w:rPr>
                      <w:rFonts w:ascii="Cambria Math" w:hAnsi="Cambria Math" w:cs="Courier New" w:eastAsiaTheme="minorEastAsia"/>
                      <w:color w:val="000000"/>
                      <w:kern w:val="0"/>
                      <w:sz w:val="28"/>
                      <w:szCs w:val="28"/>
                    </w:rPr>
                    <m:t>x</m:t>
                  </m:r>
                  <m:ctrlPr>
                    <w:rPr>
                      <w:rFonts w:ascii="Cambria Math" w:hAnsi="Cambria Math" w:cs="Courier New" w:eastAsiaTheme="minorEastAsia"/>
                      <w:i/>
                      <w:color w:val="000000"/>
                      <w:kern w:val="0"/>
                      <w:sz w:val="28"/>
                      <w:szCs w:val="28"/>
                    </w:rPr>
                  </m:ctrlPr>
                </m:e>
                <m:sup>
                  <m:d>
                    <m:dPr>
                      <m:ctrlPr>
                        <w:rPr>
                          <w:rFonts w:ascii="Cambria Math" w:hAnsi="Cambria Math" w:cs="Courier New" w:eastAsiaTheme="minorEastAsia"/>
                          <w:i/>
                          <w:color w:val="000000"/>
                          <w:kern w:val="0"/>
                          <w:sz w:val="28"/>
                          <w:szCs w:val="28"/>
                        </w:rPr>
                      </m:ctrlPr>
                    </m:dPr>
                    <m:e>
                      <m:r>
                        <m:rPr/>
                        <w:rPr>
                          <w:rFonts w:ascii="Cambria Math" w:hAnsi="Cambria Math" w:cs="Courier New" w:eastAsiaTheme="minorEastAsia"/>
                          <w:color w:val="000000"/>
                          <w:kern w:val="0"/>
                          <w:sz w:val="28"/>
                          <w:szCs w:val="28"/>
                        </w:rPr>
                        <m:t>0</m:t>
                      </m:r>
                      <m:ctrlPr>
                        <w:rPr>
                          <w:rFonts w:ascii="Cambria Math" w:hAnsi="Cambria Math" w:cs="Courier New" w:eastAsiaTheme="minorEastAsia"/>
                          <w:i/>
                          <w:color w:val="000000"/>
                          <w:kern w:val="0"/>
                          <w:sz w:val="28"/>
                          <w:szCs w:val="28"/>
                        </w:rPr>
                      </m:ctrlPr>
                    </m:e>
                  </m:d>
                  <m:ctrlPr>
                    <w:rPr>
                      <w:rFonts w:ascii="Cambria Math" w:hAnsi="Cambria Math" w:cs="Courier New" w:eastAsiaTheme="minorEastAsia"/>
                      <w:i/>
                      <w:color w:val="000000"/>
                      <w:kern w:val="0"/>
                      <w:sz w:val="28"/>
                      <w:szCs w:val="28"/>
                    </w:rPr>
                  </m:ctrlPr>
                </m:sup>
              </m:sSup>
              <m:d>
                <m:dPr>
                  <m:ctrlPr>
                    <w:rPr>
                      <w:rFonts w:ascii="Cambria Math" w:hAnsi="Cambria Math" w:cs="Courier New" w:eastAsiaTheme="minorEastAsia"/>
                      <w:i/>
                      <w:color w:val="000000"/>
                      <w:kern w:val="0"/>
                      <w:sz w:val="28"/>
                      <w:szCs w:val="28"/>
                    </w:rPr>
                  </m:ctrlPr>
                </m:dPr>
                <m:e>
                  <m:r>
                    <m:rPr/>
                    <w:rPr>
                      <w:rFonts w:ascii="Cambria Math" w:hAnsi="Cambria Math" w:cs="Courier New" w:eastAsiaTheme="minorEastAsia"/>
                      <w:color w:val="000000"/>
                      <w:kern w:val="0"/>
                      <w:sz w:val="28"/>
                      <w:szCs w:val="28"/>
                    </w:rPr>
                    <m:t>1</m:t>
                  </m:r>
                  <m:ctrlPr>
                    <w:rPr>
                      <w:rFonts w:ascii="Cambria Math" w:hAnsi="Cambria Math" w:cs="Courier New" w:eastAsiaTheme="minorEastAsia"/>
                      <w:i/>
                      <w:color w:val="000000"/>
                      <w:kern w:val="0"/>
                      <w:sz w:val="28"/>
                      <w:szCs w:val="28"/>
                    </w:rPr>
                  </m:ctrlPr>
                </m:e>
              </m:d>
              <m:r>
                <m:rPr/>
                <w:rPr>
                  <w:rFonts w:ascii="Cambria Math" w:hAnsi="Cambria Math" w:cs="Courier New" w:eastAsiaTheme="minorEastAsia"/>
                  <w:color w:val="000000"/>
                  <w:kern w:val="0"/>
                  <w:sz w:val="28"/>
                  <w:szCs w:val="28"/>
                </w:rPr>
                <m:t>+</m:t>
              </m:r>
              <m:f>
                <m:fPr>
                  <m:ctrlPr>
                    <w:rPr>
                      <w:rFonts w:ascii="Cambria Math" w:hAnsi="Cambria Math" w:cs="Courier New" w:eastAsiaTheme="minorEastAsia"/>
                      <w:i/>
                      <w:color w:val="000000"/>
                      <w:kern w:val="0"/>
                      <w:sz w:val="28"/>
                      <w:szCs w:val="28"/>
                    </w:rPr>
                  </m:ctrlPr>
                </m:fPr>
                <m:num>
                  <m:r>
                    <m:rPr/>
                    <w:rPr>
                      <w:rFonts w:hint="eastAsia" w:ascii="Cambria Math" w:hAnsi="Cambria Math" w:cs="Courier New" w:eastAsiaTheme="minorEastAsia"/>
                      <w:color w:val="000000"/>
                      <w:kern w:val="0"/>
                      <w:sz w:val="28"/>
                      <w:szCs w:val="28"/>
                    </w:rPr>
                    <m:t>2110.3</m:t>
                  </m:r>
                  <m:ctrlPr>
                    <w:rPr>
                      <w:rFonts w:ascii="Cambria Math" w:hAnsi="Cambria Math" w:cs="Courier New" w:eastAsiaTheme="minorEastAsia"/>
                      <w:i/>
                      <w:color w:val="000000"/>
                      <w:kern w:val="0"/>
                      <w:sz w:val="28"/>
                      <w:szCs w:val="28"/>
                    </w:rPr>
                  </m:ctrlPr>
                </m:num>
                <m:den>
                  <m:r>
                    <m:rPr/>
                    <w:rPr>
                      <w:rFonts w:ascii="Cambria Math" w:hAnsi="Cambria Math" w:cs="Courier New" w:eastAsiaTheme="minorEastAsia"/>
                      <w:color w:val="000000"/>
                      <w:kern w:val="0"/>
                      <w:sz w:val="28"/>
                      <w:szCs w:val="28"/>
                    </w:rPr>
                    <m:t xml:space="preserve"> 0.</m:t>
                  </m:r>
                  <m:r>
                    <m:rPr/>
                    <w:rPr>
                      <w:rFonts w:hint="eastAsia" w:ascii="Cambria Math" w:hAnsi="Cambria Math" w:cs="Courier New" w:eastAsiaTheme="minorEastAsia"/>
                      <w:color w:val="000000"/>
                      <w:kern w:val="0"/>
                      <w:sz w:val="28"/>
                      <w:szCs w:val="28"/>
                    </w:rPr>
                    <m:t>0301</m:t>
                  </m:r>
                  <m:ctrlPr>
                    <w:rPr>
                      <w:rFonts w:ascii="Cambria Math" w:hAnsi="Cambria Math" w:cs="Courier New" w:eastAsiaTheme="minorEastAsia"/>
                      <w:i/>
                      <w:color w:val="000000"/>
                      <w:kern w:val="0"/>
                      <w:sz w:val="28"/>
                      <w:szCs w:val="28"/>
                    </w:rPr>
                  </m:ctrlPr>
                </m:den>
              </m:f>
              <m:ctrlPr>
                <w:rPr>
                  <w:rFonts w:ascii="Cambria Math" w:hAnsi="Cambria Math" w:cs="Courier New" w:eastAsiaTheme="minorEastAsia"/>
                  <w:i/>
                  <w:color w:val="000000"/>
                  <w:kern w:val="0"/>
                  <w:sz w:val="28"/>
                  <w:szCs w:val="28"/>
                </w:rPr>
              </m:ctrlPr>
            </m:e>
          </m:d>
          <m:sSup>
            <m:sSupPr>
              <m:ctrlPr>
                <w:rPr>
                  <w:rFonts w:ascii="Cambria Math" w:hAnsi="Cambria Math" w:cs="Courier New" w:eastAsiaTheme="minorEastAsia"/>
                  <w:i/>
                  <w:color w:val="000000"/>
                  <w:kern w:val="0"/>
                  <w:sz w:val="28"/>
                  <w:szCs w:val="28"/>
                </w:rPr>
              </m:ctrlPr>
            </m:sSupPr>
            <m:e>
              <m:r>
                <m:rPr/>
                <w:rPr>
                  <w:rFonts w:ascii="Cambria Math" w:hAnsi="Cambria Math" w:cs="Courier New" w:eastAsiaTheme="minorEastAsia"/>
                  <w:color w:val="000000"/>
                  <w:kern w:val="0"/>
                  <w:sz w:val="28"/>
                  <w:szCs w:val="28"/>
                </w:rPr>
                <m:t>e</m:t>
              </m:r>
              <m:ctrlPr>
                <w:rPr>
                  <w:rFonts w:ascii="Cambria Math" w:hAnsi="Cambria Math" w:cs="Courier New" w:eastAsiaTheme="minorEastAsia"/>
                  <w:i/>
                  <w:color w:val="000000"/>
                  <w:kern w:val="0"/>
                  <w:sz w:val="28"/>
                  <w:szCs w:val="28"/>
                </w:rPr>
              </m:ctrlPr>
            </m:e>
            <m:sup>
              <m:r>
                <m:rPr/>
                <w:rPr>
                  <w:rFonts w:ascii="Cambria Math" w:hAnsi="Cambria Math" w:cs="Courier New" w:eastAsiaTheme="minorEastAsia"/>
                  <w:color w:val="000000"/>
                  <w:kern w:val="0"/>
                  <w:sz w:val="28"/>
                  <w:szCs w:val="28"/>
                </w:rPr>
                <m:t>0.1295k</m:t>
              </m:r>
              <m:ctrlPr>
                <w:rPr>
                  <w:rFonts w:ascii="Cambria Math" w:hAnsi="Cambria Math" w:cs="Courier New" w:eastAsiaTheme="minorEastAsia"/>
                  <w:i/>
                  <w:color w:val="000000"/>
                  <w:kern w:val="0"/>
                  <w:sz w:val="28"/>
                  <w:szCs w:val="28"/>
                </w:rPr>
              </m:ctrlPr>
            </m:sup>
          </m:sSup>
          <m:r>
            <m:rPr/>
            <w:rPr>
              <w:rFonts w:ascii="Cambria Math" w:hAnsi="Cambria Math" w:cs="Courier New" w:eastAsiaTheme="minorEastAsia"/>
              <w:color w:val="000000"/>
              <w:kern w:val="0"/>
              <w:sz w:val="28"/>
              <w:szCs w:val="28"/>
            </w:rPr>
            <m:t>−</m:t>
          </m:r>
          <m:f>
            <m:fPr>
              <m:ctrlPr>
                <w:rPr>
                  <w:rFonts w:ascii="Cambria Math" w:hAnsi="Cambria Math" w:cs="Courier New" w:eastAsiaTheme="minorEastAsia"/>
                  <w:i/>
                  <w:color w:val="000000"/>
                  <w:kern w:val="0"/>
                  <w:sz w:val="28"/>
                  <w:szCs w:val="28"/>
                </w:rPr>
              </m:ctrlPr>
            </m:fPr>
            <m:num>
              <m:r>
                <m:rPr/>
                <w:rPr>
                  <w:rFonts w:hint="eastAsia" w:ascii="Cambria Math" w:hAnsi="Cambria Math" w:cs="Courier New" w:eastAsiaTheme="minorEastAsia"/>
                  <w:color w:val="000000"/>
                  <w:kern w:val="0"/>
                  <w:sz w:val="28"/>
                  <w:szCs w:val="28"/>
                </w:rPr>
                <m:t>2110.3</m:t>
              </m:r>
              <m:ctrlPr>
                <w:rPr>
                  <w:rFonts w:ascii="Cambria Math" w:hAnsi="Cambria Math" w:cs="Courier New" w:eastAsiaTheme="minorEastAsia"/>
                  <w:i/>
                  <w:color w:val="000000"/>
                  <w:kern w:val="0"/>
                  <w:sz w:val="28"/>
                  <w:szCs w:val="28"/>
                </w:rPr>
              </m:ctrlPr>
            </m:num>
            <m:den>
              <m:r>
                <m:rPr/>
                <w:rPr>
                  <w:rFonts w:ascii="Cambria Math" w:hAnsi="Cambria Math" w:cs="Courier New" w:eastAsiaTheme="minorEastAsia"/>
                  <w:color w:val="000000"/>
                  <w:kern w:val="0"/>
                  <w:sz w:val="28"/>
                  <w:szCs w:val="28"/>
                </w:rPr>
                <m:t xml:space="preserve"> 0.</m:t>
              </m:r>
              <m:r>
                <m:rPr/>
                <w:rPr>
                  <w:rFonts w:hint="eastAsia" w:ascii="Cambria Math" w:hAnsi="Cambria Math" w:cs="Courier New" w:eastAsiaTheme="minorEastAsia"/>
                  <w:color w:val="000000"/>
                  <w:kern w:val="0"/>
                  <w:sz w:val="28"/>
                  <w:szCs w:val="28"/>
                </w:rPr>
                <m:t>0301</m:t>
              </m:r>
              <m:ctrlPr>
                <w:rPr>
                  <w:rFonts w:ascii="Cambria Math" w:hAnsi="Cambria Math" w:cs="Courier New" w:eastAsiaTheme="minorEastAsia"/>
                  <w:i/>
                  <w:color w:val="000000"/>
                  <w:kern w:val="0"/>
                  <w:sz w:val="28"/>
                  <w:szCs w:val="28"/>
                </w:rPr>
              </m:ctrlPr>
            </m:den>
          </m:f>
          <m:r>
            <m:rPr>
              <m:sty m:val="p"/>
            </m:rPr>
            <w:rPr>
              <w:rFonts w:ascii="Cambria Math" w:hAnsi="Cambria Math" w:cs="Courier New" w:eastAsiaTheme="minorEastAsia"/>
              <w:color w:val="000000"/>
              <w:kern w:val="0"/>
              <w:sz w:val="28"/>
              <w:szCs w:val="28"/>
            </w:rPr>
            <m:t>,k=1</m:t>
          </m:r>
          <m:r>
            <m:rPr>
              <m:sty m:val="p"/>
            </m:rPr>
            <w:rPr>
              <w:rFonts w:hint="eastAsia" w:ascii="Cambria Math" w:hAnsi="Cambria Math" w:cs="Courier New" w:eastAsiaTheme="minorEastAsia"/>
              <w:color w:val="000000"/>
              <w:kern w:val="0"/>
              <w:sz w:val="28"/>
              <w:szCs w:val="28"/>
            </w:rPr>
            <m:t>,</m:t>
          </m:r>
          <m:r>
            <m:rPr>
              <m:sty m:val="p"/>
            </m:rPr>
            <w:rPr>
              <w:rFonts w:ascii="Cambria Math" w:hAnsi="Cambria Math" w:cs="Courier New" w:eastAsiaTheme="minorEastAsia"/>
              <w:color w:val="000000"/>
              <w:kern w:val="0"/>
              <w:sz w:val="28"/>
              <w:szCs w:val="28"/>
            </w:rPr>
            <m:t>2,…</m:t>
          </m:r>
          <m:r>
            <m:rPr>
              <m:sty m:val="p"/>
            </m:rPr>
            <w:rPr>
              <w:rFonts w:hint="eastAsia" w:ascii="Cambria Math" w:hAnsi="Cambria Math" w:cs="Courier New" w:eastAsiaTheme="minorEastAsia"/>
              <w:color w:val="000000"/>
              <w:kern w:val="0"/>
              <w:sz w:val="28"/>
              <w:szCs w:val="28"/>
            </w:rPr>
            <m:t>,</m:t>
          </m:r>
          <m:r>
            <m:rPr>
              <m:sty m:val="p"/>
            </m:rPr>
            <w:rPr>
              <w:rFonts w:ascii="Cambria Math" w:hAnsi="Cambria Math" w:cs="Courier New" w:eastAsiaTheme="minorEastAsia"/>
              <w:color w:val="000000"/>
              <w:kern w:val="0"/>
              <w:sz w:val="28"/>
              <w:szCs w:val="28"/>
            </w:rPr>
            <m:t>n−1</m:t>
          </m:r>
        </m:oMath>
      </m:oMathPara>
    </w:p>
    <w:p w14:paraId="3408B364">
      <w:pPr>
        <w:spacing w:line="360" w:lineRule="auto"/>
        <w:ind w:firstLine="560" w:firstLineChars="200"/>
        <w:rPr>
          <w:rFonts w:eastAsia="仿宋_GB2312"/>
          <w:sz w:val="28"/>
          <w:szCs w:val="28"/>
        </w:rPr>
      </w:pPr>
      <w:r>
        <w:rPr>
          <w:rFonts w:hint="eastAsia" w:eastAsia="仿宋_GB2312"/>
          <w:sz w:val="28"/>
          <w:szCs w:val="28"/>
        </w:rPr>
        <w:t>由时间响应函数及如下递推公式进行测算，并进行G</w:t>
      </w:r>
      <w:r>
        <w:rPr>
          <w:rFonts w:eastAsia="仿宋_GB2312"/>
          <w:sz w:val="28"/>
          <w:szCs w:val="28"/>
        </w:rPr>
        <w:t>M</w:t>
      </w:r>
      <w:r>
        <w:rPr>
          <w:rFonts w:hint="eastAsia" w:eastAsia="仿宋_GB2312"/>
          <w:sz w:val="28"/>
          <w:szCs w:val="28"/>
        </w:rPr>
        <w:t>模型的残差检验和级比偏差值检验，可以达到较高要求。</w:t>
      </w:r>
    </w:p>
    <w:p w14:paraId="4A1BED94">
      <w:pPr>
        <w:autoSpaceDE w:val="0"/>
        <w:autoSpaceDN w:val="0"/>
        <w:adjustRightInd w:val="0"/>
        <w:spacing w:line="360" w:lineRule="auto"/>
        <w:ind w:firstLine="516"/>
        <w:jc w:val="left"/>
        <w:rPr>
          <w:rFonts w:ascii="Courier New" w:hAnsi="Courier New" w:cs="Courier New" w:eastAsiaTheme="minorEastAsia"/>
          <w:color w:val="000000"/>
          <w:kern w:val="0"/>
          <w:sz w:val="28"/>
          <w:szCs w:val="28"/>
        </w:rPr>
      </w:pPr>
      <m:oMathPara>
        <m:oMath>
          <m:sSup>
            <m:sSupPr>
              <m:ctrlPr>
                <w:rPr>
                  <w:rFonts w:ascii="Cambria Math" w:hAnsi="Cambria Math" w:cs="Courier New" w:eastAsiaTheme="minorEastAsia"/>
                  <w:i/>
                  <w:color w:val="000000"/>
                  <w:kern w:val="0"/>
                  <w:sz w:val="28"/>
                  <w:szCs w:val="28"/>
                </w:rPr>
              </m:ctrlPr>
            </m:sSupPr>
            <m:e>
              <m:acc>
                <m:accPr>
                  <m:ctrlPr>
                    <w:rPr>
                      <w:rFonts w:ascii="Cambria Math" w:hAnsi="Cambria Math" w:cs="Courier New" w:eastAsiaTheme="minorEastAsia"/>
                      <w:i/>
                      <w:color w:val="000000"/>
                      <w:kern w:val="0"/>
                      <w:sz w:val="28"/>
                      <w:szCs w:val="28"/>
                    </w:rPr>
                  </m:ctrlPr>
                </m:accPr>
                <m:e>
                  <m:r>
                    <m:rPr/>
                    <w:rPr>
                      <w:rFonts w:ascii="Cambria Math" w:hAnsi="Cambria Math" w:cs="Courier New" w:eastAsiaTheme="minorEastAsia"/>
                      <w:color w:val="000000"/>
                      <w:kern w:val="0"/>
                      <w:sz w:val="28"/>
                      <w:szCs w:val="28"/>
                    </w:rPr>
                    <m:t>x</m:t>
                  </m:r>
                  <m:ctrlPr>
                    <w:rPr>
                      <w:rFonts w:ascii="Cambria Math" w:hAnsi="Cambria Math" w:cs="Courier New" w:eastAsiaTheme="minorEastAsia"/>
                      <w:i/>
                      <w:color w:val="000000"/>
                      <w:kern w:val="0"/>
                      <w:sz w:val="28"/>
                      <w:szCs w:val="28"/>
                    </w:rPr>
                  </m:ctrlPr>
                </m:e>
              </m:acc>
              <m:ctrlPr>
                <w:rPr>
                  <w:rFonts w:ascii="Cambria Math" w:hAnsi="Cambria Math" w:cs="Courier New" w:eastAsiaTheme="minorEastAsia"/>
                  <w:i/>
                  <w:color w:val="000000"/>
                  <w:kern w:val="0"/>
                  <w:sz w:val="28"/>
                  <w:szCs w:val="28"/>
                </w:rPr>
              </m:ctrlPr>
            </m:e>
            <m:sup>
              <m:d>
                <m:dPr>
                  <m:ctrlPr>
                    <w:rPr>
                      <w:rFonts w:ascii="Cambria Math" w:hAnsi="Cambria Math" w:cs="Courier New" w:eastAsiaTheme="minorEastAsia"/>
                      <w:i/>
                      <w:color w:val="000000"/>
                      <w:kern w:val="0"/>
                      <w:sz w:val="28"/>
                      <w:szCs w:val="28"/>
                    </w:rPr>
                  </m:ctrlPr>
                </m:dPr>
                <m:e>
                  <m:r>
                    <m:rPr/>
                    <w:rPr>
                      <w:rFonts w:ascii="Cambria Math" w:hAnsi="Cambria Math" w:cs="Courier New" w:eastAsiaTheme="minorEastAsia"/>
                      <w:color w:val="000000"/>
                      <w:kern w:val="0"/>
                      <w:sz w:val="28"/>
                      <w:szCs w:val="28"/>
                    </w:rPr>
                    <m:t>0</m:t>
                  </m:r>
                  <m:ctrlPr>
                    <w:rPr>
                      <w:rFonts w:ascii="Cambria Math" w:hAnsi="Cambria Math" w:cs="Courier New" w:eastAsiaTheme="minorEastAsia"/>
                      <w:i/>
                      <w:color w:val="000000"/>
                      <w:kern w:val="0"/>
                      <w:sz w:val="28"/>
                      <w:szCs w:val="28"/>
                    </w:rPr>
                  </m:ctrlPr>
                </m:e>
              </m:d>
              <m:ctrlPr>
                <w:rPr>
                  <w:rFonts w:ascii="Cambria Math" w:hAnsi="Cambria Math" w:cs="Courier New" w:eastAsiaTheme="minorEastAsia"/>
                  <w:i/>
                  <w:color w:val="000000"/>
                  <w:kern w:val="0"/>
                  <w:sz w:val="28"/>
                  <w:szCs w:val="28"/>
                </w:rPr>
              </m:ctrlPr>
            </m:sup>
          </m:sSup>
          <m:d>
            <m:dPr>
              <m:ctrlPr>
                <w:rPr>
                  <w:rFonts w:ascii="Cambria Math" w:hAnsi="Cambria Math" w:cs="Courier New" w:eastAsiaTheme="minorEastAsia"/>
                  <w:i/>
                  <w:color w:val="000000"/>
                  <w:kern w:val="0"/>
                  <w:sz w:val="28"/>
                  <w:szCs w:val="28"/>
                </w:rPr>
              </m:ctrlPr>
            </m:dPr>
            <m:e>
              <m:r>
                <m:rPr/>
                <w:rPr>
                  <w:rFonts w:ascii="Cambria Math" w:hAnsi="Cambria Math" w:cs="Courier New" w:eastAsiaTheme="minorEastAsia"/>
                  <w:color w:val="000000"/>
                  <w:kern w:val="0"/>
                  <w:sz w:val="28"/>
                  <w:szCs w:val="28"/>
                </w:rPr>
                <m:t>k+1</m:t>
              </m:r>
              <m:ctrlPr>
                <w:rPr>
                  <w:rFonts w:ascii="Cambria Math" w:hAnsi="Cambria Math" w:cs="Courier New" w:eastAsiaTheme="minorEastAsia"/>
                  <w:i/>
                  <w:color w:val="000000"/>
                  <w:kern w:val="0"/>
                  <w:sz w:val="28"/>
                  <w:szCs w:val="28"/>
                </w:rPr>
              </m:ctrlPr>
            </m:e>
          </m:d>
          <m:r>
            <m:rPr/>
            <w:rPr>
              <w:rFonts w:ascii="Cambria Math" w:hAnsi="Cambria Math" w:cs="Courier New" w:eastAsiaTheme="minorEastAsia"/>
              <w:color w:val="000000"/>
              <w:kern w:val="0"/>
              <w:sz w:val="28"/>
              <w:szCs w:val="28"/>
            </w:rPr>
            <m:t>=</m:t>
          </m:r>
          <m:sSup>
            <m:sSupPr>
              <m:ctrlPr>
                <w:rPr>
                  <w:rFonts w:ascii="Cambria Math" w:hAnsi="Cambria Math" w:cs="Courier New" w:eastAsiaTheme="minorEastAsia"/>
                  <w:i/>
                  <w:color w:val="000000"/>
                  <w:kern w:val="0"/>
                  <w:sz w:val="28"/>
                  <w:szCs w:val="28"/>
                </w:rPr>
              </m:ctrlPr>
            </m:sSupPr>
            <m:e>
              <m:acc>
                <m:accPr>
                  <m:ctrlPr>
                    <w:rPr>
                      <w:rFonts w:ascii="Cambria Math" w:hAnsi="Cambria Math" w:cs="Courier New" w:eastAsiaTheme="minorEastAsia"/>
                      <w:i/>
                      <w:color w:val="000000"/>
                      <w:kern w:val="0"/>
                      <w:sz w:val="28"/>
                      <w:szCs w:val="28"/>
                    </w:rPr>
                  </m:ctrlPr>
                </m:accPr>
                <m:e>
                  <m:r>
                    <m:rPr/>
                    <w:rPr>
                      <w:rFonts w:ascii="Cambria Math" w:hAnsi="Cambria Math" w:cs="Courier New" w:eastAsiaTheme="minorEastAsia"/>
                      <w:color w:val="000000"/>
                      <w:kern w:val="0"/>
                      <w:sz w:val="28"/>
                      <w:szCs w:val="28"/>
                    </w:rPr>
                    <m:t>x</m:t>
                  </m:r>
                  <m:ctrlPr>
                    <w:rPr>
                      <w:rFonts w:ascii="Cambria Math" w:hAnsi="Cambria Math" w:cs="Courier New" w:eastAsiaTheme="minorEastAsia"/>
                      <w:i/>
                      <w:color w:val="000000"/>
                      <w:kern w:val="0"/>
                      <w:sz w:val="28"/>
                      <w:szCs w:val="28"/>
                    </w:rPr>
                  </m:ctrlPr>
                </m:e>
              </m:acc>
              <m:ctrlPr>
                <w:rPr>
                  <w:rFonts w:ascii="Cambria Math" w:hAnsi="Cambria Math" w:cs="Courier New" w:eastAsiaTheme="minorEastAsia"/>
                  <w:i/>
                  <w:color w:val="000000"/>
                  <w:kern w:val="0"/>
                  <w:sz w:val="28"/>
                  <w:szCs w:val="28"/>
                </w:rPr>
              </m:ctrlPr>
            </m:e>
            <m:sup>
              <m:d>
                <m:dPr>
                  <m:ctrlPr>
                    <w:rPr>
                      <w:rFonts w:ascii="Cambria Math" w:hAnsi="Cambria Math" w:cs="Courier New" w:eastAsiaTheme="minorEastAsia"/>
                      <w:i/>
                      <w:color w:val="000000"/>
                      <w:kern w:val="0"/>
                      <w:sz w:val="28"/>
                      <w:szCs w:val="28"/>
                    </w:rPr>
                  </m:ctrlPr>
                </m:dPr>
                <m:e>
                  <m:r>
                    <m:rPr/>
                    <w:rPr>
                      <w:rFonts w:ascii="Cambria Math" w:hAnsi="Cambria Math" w:cs="Courier New" w:eastAsiaTheme="minorEastAsia"/>
                      <w:color w:val="000000"/>
                      <w:kern w:val="0"/>
                      <w:sz w:val="28"/>
                      <w:szCs w:val="28"/>
                    </w:rPr>
                    <m:t>1</m:t>
                  </m:r>
                  <m:ctrlPr>
                    <w:rPr>
                      <w:rFonts w:ascii="Cambria Math" w:hAnsi="Cambria Math" w:cs="Courier New" w:eastAsiaTheme="minorEastAsia"/>
                      <w:i/>
                      <w:color w:val="000000"/>
                      <w:kern w:val="0"/>
                      <w:sz w:val="28"/>
                      <w:szCs w:val="28"/>
                    </w:rPr>
                  </m:ctrlPr>
                </m:e>
              </m:d>
              <m:ctrlPr>
                <w:rPr>
                  <w:rFonts w:ascii="Cambria Math" w:hAnsi="Cambria Math" w:cs="Courier New" w:eastAsiaTheme="minorEastAsia"/>
                  <w:i/>
                  <w:color w:val="000000"/>
                  <w:kern w:val="0"/>
                  <w:sz w:val="28"/>
                  <w:szCs w:val="28"/>
                </w:rPr>
              </m:ctrlPr>
            </m:sup>
          </m:sSup>
          <m:d>
            <m:dPr>
              <m:ctrlPr>
                <w:rPr>
                  <w:rFonts w:ascii="Cambria Math" w:hAnsi="Cambria Math" w:cs="Courier New" w:eastAsiaTheme="minorEastAsia"/>
                  <w:i/>
                  <w:color w:val="000000"/>
                  <w:kern w:val="0"/>
                  <w:sz w:val="28"/>
                  <w:szCs w:val="28"/>
                </w:rPr>
              </m:ctrlPr>
            </m:dPr>
            <m:e>
              <m:r>
                <m:rPr/>
                <w:rPr>
                  <w:rFonts w:ascii="Cambria Math" w:hAnsi="Cambria Math" w:cs="Courier New" w:eastAsiaTheme="minorEastAsia"/>
                  <w:color w:val="000000"/>
                  <w:kern w:val="0"/>
                  <w:sz w:val="28"/>
                  <w:szCs w:val="28"/>
                </w:rPr>
                <m:t>k+1</m:t>
              </m:r>
              <m:ctrlPr>
                <w:rPr>
                  <w:rFonts w:ascii="Cambria Math" w:hAnsi="Cambria Math" w:cs="Courier New" w:eastAsiaTheme="minorEastAsia"/>
                  <w:i/>
                  <w:color w:val="000000"/>
                  <w:kern w:val="0"/>
                  <w:sz w:val="28"/>
                  <w:szCs w:val="28"/>
                </w:rPr>
              </m:ctrlPr>
            </m:e>
          </m:d>
          <m:r>
            <m:rPr/>
            <w:rPr>
              <w:rFonts w:ascii="Cambria Math" w:hAnsi="Cambria Math" w:cs="Courier New" w:eastAsiaTheme="minorEastAsia"/>
              <w:color w:val="000000"/>
              <w:kern w:val="0"/>
              <w:sz w:val="28"/>
              <w:szCs w:val="28"/>
            </w:rPr>
            <m:t>−</m:t>
          </m:r>
          <m:sSup>
            <m:sSupPr>
              <m:ctrlPr>
                <w:rPr>
                  <w:rFonts w:ascii="Cambria Math" w:hAnsi="Cambria Math" w:cs="Courier New" w:eastAsiaTheme="minorEastAsia"/>
                  <w:i/>
                  <w:color w:val="000000"/>
                  <w:kern w:val="0"/>
                  <w:sz w:val="28"/>
                  <w:szCs w:val="28"/>
                </w:rPr>
              </m:ctrlPr>
            </m:sSupPr>
            <m:e>
              <m:acc>
                <m:accPr>
                  <m:ctrlPr>
                    <w:rPr>
                      <w:rFonts w:ascii="Cambria Math" w:hAnsi="Cambria Math" w:cs="Courier New" w:eastAsiaTheme="minorEastAsia"/>
                      <w:i/>
                      <w:color w:val="000000"/>
                      <w:kern w:val="0"/>
                      <w:sz w:val="28"/>
                      <w:szCs w:val="28"/>
                    </w:rPr>
                  </m:ctrlPr>
                </m:accPr>
                <m:e>
                  <m:r>
                    <m:rPr/>
                    <w:rPr>
                      <w:rFonts w:ascii="Cambria Math" w:hAnsi="Cambria Math" w:cs="Courier New" w:eastAsiaTheme="minorEastAsia"/>
                      <w:color w:val="000000"/>
                      <w:kern w:val="0"/>
                      <w:sz w:val="28"/>
                      <w:szCs w:val="28"/>
                    </w:rPr>
                    <m:t>x</m:t>
                  </m:r>
                  <m:ctrlPr>
                    <w:rPr>
                      <w:rFonts w:ascii="Cambria Math" w:hAnsi="Cambria Math" w:cs="Courier New" w:eastAsiaTheme="minorEastAsia"/>
                      <w:i/>
                      <w:color w:val="000000"/>
                      <w:kern w:val="0"/>
                      <w:sz w:val="28"/>
                      <w:szCs w:val="28"/>
                    </w:rPr>
                  </m:ctrlPr>
                </m:e>
              </m:acc>
              <m:ctrlPr>
                <w:rPr>
                  <w:rFonts w:ascii="Cambria Math" w:hAnsi="Cambria Math" w:cs="Courier New" w:eastAsiaTheme="minorEastAsia"/>
                  <w:i/>
                  <w:color w:val="000000"/>
                  <w:kern w:val="0"/>
                  <w:sz w:val="28"/>
                  <w:szCs w:val="28"/>
                </w:rPr>
              </m:ctrlPr>
            </m:e>
            <m:sup>
              <m:d>
                <m:dPr>
                  <m:ctrlPr>
                    <w:rPr>
                      <w:rFonts w:ascii="Cambria Math" w:hAnsi="Cambria Math" w:cs="Courier New" w:eastAsiaTheme="minorEastAsia"/>
                      <w:i/>
                      <w:color w:val="000000"/>
                      <w:kern w:val="0"/>
                      <w:sz w:val="28"/>
                      <w:szCs w:val="28"/>
                    </w:rPr>
                  </m:ctrlPr>
                </m:dPr>
                <m:e>
                  <m:r>
                    <m:rPr/>
                    <w:rPr>
                      <w:rFonts w:ascii="Cambria Math" w:hAnsi="Cambria Math" w:cs="Courier New" w:eastAsiaTheme="minorEastAsia"/>
                      <w:color w:val="000000"/>
                      <w:kern w:val="0"/>
                      <w:sz w:val="28"/>
                      <w:szCs w:val="28"/>
                    </w:rPr>
                    <m:t>1</m:t>
                  </m:r>
                  <m:ctrlPr>
                    <w:rPr>
                      <w:rFonts w:ascii="Cambria Math" w:hAnsi="Cambria Math" w:cs="Courier New" w:eastAsiaTheme="minorEastAsia"/>
                      <w:i/>
                      <w:color w:val="000000"/>
                      <w:kern w:val="0"/>
                      <w:sz w:val="28"/>
                      <w:szCs w:val="28"/>
                    </w:rPr>
                  </m:ctrlPr>
                </m:e>
              </m:d>
              <m:ctrlPr>
                <w:rPr>
                  <w:rFonts w:ascii="Cambria Math" w:hAnsi="Cambria Math" w:cs="Courier New" w:eastAsiaTheme="minorEastAsia"/>
                  <w:i/>
                  <w:color w:val="000000"/>
                  <w:kern w:val="0"/>
                  <w:sz w:val="28"/>
                  <w:szCs w:val="28"/>
                </w:rPr>
              </m:ctrlPr>
            </m:sup>
          </m:sSup>
          <m:d>
            <m:dPr>
              <m:ctrlPr>
                <w:rPr>
                  <w:rFonts w:ascii="Cambria Math" w:hAnsi="Cambria Math" w:cs="Courier New" w:eastAsiaTheme="minorEastAsia"/>
                  <w:i/>
                  <w:color w:val="000000"/>
                  <w:kern w:val="0"/>
                  <w:sz w:val="28"/>
                  <w:szCs w:val="28"/>
                </w:rPr>
              </m:ctrlPr>
            </m:dPr>
            <m:e>
              <m:r>
                <m:rPr/>
                <w:rPr>
                  <w:rFonts w:ascii="Cambria Math" w:hAnsi="Cambria Math" w:cs="Courier New" w:eastAsiaTheme="minorEastAsia"/>
                  <w:color w:val="000000"/>
                  <w:kern w:val="0"/>
                  <w:sz w:val="28"/>
                  <w:szCs w:val="28"/>
                </w:rPr>
                <m:t>k</m:t>
              </m:r>
              <m:ctrlPr>
                <w:rPr>
                  <w:rFonts w:ascii="Cambria Math" w:hAnsi="Cambria Math" w:cs="Courier New" w:eastAsiaTheme="minorEastAsia"/>
                  <w:i/>
                  <w:color w:val="000000"/>
                  <w:kern w:val="0"/>
                  <w:sz w:val="28"/>
                  <w:szCs w:val="28"/>
                </w:rPr>
              </m:ctrlPr>
            </m:e>
          </m:d>
          <m:r>
            <m:rPr>
              <m:sty m:val="p"/>
            </m:rPr>
            <w:rPr>
              <w:rFonts w:ascii="Cambria Math" w:hAnsi="Cambria Math" w:cs="Courier New" w:eastAsiaTheme="minorEastAsia"/>
              <w:color w:val="000000"/>
              <w:kern w:val="0"/>
              <w:sz w:val="28"/>
              <w:szCs w:val="28"/>
            </w:rPr>
            <m:t>,k=1</m:t>
          </m:r>
          <m:r>
            <m:rPr>
              <m:sty m:val="p"/>
            </m:rPr>
            <w:rPr>
              <w:rFonts w:hint="eastAsia" w:ascii="Cambria Math" w:hAnsi="Cambria Math" w:cs="Courier New" w:eastAsiaTheme="minorEastAsia"/>
              <w:color w:val="000000"/>
              <w:kern w:val="0"/>
              <w:sz w:val="28"/>
              <w:szCs w:val="28"/>
            </w:rPr>
            <m:t>,</m:t>
          </m:r>
          <m:r>
            <m:rPr>
              <m:sty m:val="p"/>
            </m:rPr>
            <w:rPr>
              <w:rFonts w:ascii="Cambria Math" w:hAnsi="Cambria Math" w:cs="Courier New" w:eastAsiaTheme="minorEastAsia"/>
              <w:color w:val="000000"/>
              <w:kern w:val="0"/>
              <w:sz w:val="28"/>
              <w:szCs w:val="28"/>
            </w:rPr>
            <m:t>2,…</m:t>
          </m:r>
          <m:r>
            <m:rPr>
              <m:sty m:val="p"/>
            </m:rPr>
            <w:rPr>
              <w:rFonts w:hint="eastAsia" w:ascii="Cambria Math" w:hAnsi="Cambria Math" w:cs="Courier New" w:eastAsiaTheme="minorEastAsia"/>
              <w:color w:val="000000"/>
              <w:kern w:val="0"/>
              <w:sz w:val="28"/>
              <w:szCs w:val="28"/>
            </w:rPr>
            <m:t>,</m:t>
          </m:r>
          <m:r>
            <m:rPr>
              <m:sty m:val="p"/>
            </m:rPr>
            <w:rPr>
              <w:rFonts w:ascii="Cambria Math" w:hAnsi="Cambria Math" w:cs="Courier New" w:eastAsiaTheme="minorEastAsia"/>
              <w:color w:val="000000"/>
              <w:kern w:val="0"/>
              <w:sz w:val="28"/>
              <w:szCs w:val="28"/>
            </w:rPr>
            <m:t>n−1</m:t>
          </m:r>
        </m:oMath>
      </m:oMathPara>
    </w:p>
    <w:p w14:paraId="75E4F687">
      <w:pPr>
        <w:autoSpaceDE w:val="0"/>
        <w:autoSpaceDN w:val="0"/>
        <w:adjustRightInd w:val="0"/>
        <w:spacing w:line="360" w:lineRule="auto"/>
        <w:ind w:firstLine="560" w:firstLineChars="200"/>
        <w:jc w:val="left"/>
        <w:rPr>
          <w:rFonts w:eastAsia="仿宋_GB2312"/>
          <w:sz w:val="28"/>
          <w:szCs w:val="28"/>
        </w:rPr>
      </w:pPr>
      <w:r>
        <w:rPr>
          <w:rFonts w:hint="eastAsia" w:eastAsia="仿宋_GB2312"/>
          <w:sz w:val="28"/>
          <w:szCs w:val="28"/>
        </w:rPr>
        <w:t>初步预测2025 年、2030 年突泉县货运量见下表。</w:t>
      </w:r>
    </w:p>
    <w:p w14:paraId="3950A32D">
      <w:pPr>
        <w:spacing w:line="360" w:lineRule="auto"/>
        <w:jc w:val="center"/>
        <w:rPr>
          <w:b/>
          <w:kern w:val="0"/>
          <w:sz w:val="24"/>
        </w:rPr>
      </w:pPr>
      <w:r>
        <w:rPr>
          <w:rFonts w:hint="eastAsia"/>
          <w:b/>
          <w:kern w:val="0"/>
          <w:sz w:val="24"/>
        </w:rPr>
        <w:t>表3-9  突泉县货运量预测</w:t>
      </w:r>
    </w:p>
    <w:tbl>
      <w:tblPr>
        <w:tblStyle w:val="1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0"/>
        <w:gridCol w:w="2842"/>
      </w:tblGrid>
      <w:tr w14:paraId="29A487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25657BF6">
            <w:pPr>
              <w:spacing w:line="360" w:lineRule="auto"/>
              <w:jc w:val="center"/>
              <w:rPr>
                <w:rFonts w:ascii="等线" w:hAnsi="等线" w:eastAsia="等线" w:cs="等线"/>
                <w:sz w:val="24"/>
              </w:rPr>
            </w:pPr>
            <w:r>
              <w:rPr>
                <w:rFonts w:hint="eastAsia" w:ascii="等线" w:hAnsi="等线" w:eastAsia="等线" w:cs="等线"/>
                <w:sz w:val="24"/>
              </w:rPr>
              <w:t>年份</w:t>
            </w:r>
          </w:p>
        </w:tc>
        <w:tc>
          <w:tcPr>
            <w:tcW w:w="2840" w:type="dxa"/>
            <w:vAlign w:val="center"/>
          </w:tcPr>
          <w:p w14:paraId="3F051BE4">
            <w:pPr>
              <w:spacing w:line="360" w:lineRule="auto"/>
              <w:jc w:val="center"/>
              <w:rPr>
                <w:rFonts w:ascii="等线" w:hAnsi="等线" w:eastAsia="等线" w:cs="等线"/>
                <w:sz w:val="24"/>
              </w:rPr>
            </w:pPr>
            <w:r>
              <w:rPr>
                <w:rFonts w:hint="eastAsia" w:ascii="等线" w:hAnsi="等线" w:eastAsia="等线" w:cs="等线"/>
                <w:sz w:val="24"/>
              </w:rPr>
              <w:t>2025</w:t>
            </w:r>
          </w:p>
        </w:tc>
        <w:tc>
          <w:tcPr>
            <w:tcW w:w="2842" w:type="dxa"/>
            <w:vAlign w:val="center"/>
          </w:tcPr>
          <w:p w14:paraId="29BDA461">
            <w:pPr>
              <w:spacing w:line="360" w:lineRule="auto"/>
              <w:jc w:val="center"/>
              <w:rPr>
                <w:rFonts w:ascii="等线" w:hAnsi="等线" w:eastAsia="等线" w:cs="等线"/>
                <w:sz w:val="24"/>
              </w:rPr>
            </w:pPr>
            <w:r>
              <w:rPr>
                <w:rFonts w:hint="eastAsia" w:ascii="等线" w:hAnsi="等线" w:eastAsia="等线" w:cs="等线"/>
                <w:sz w:val="24"/>
              </w:rPr>
              <w:t>2030</w:t>
            </w:r>
          </w:p>
        </w:tc>
      </w:tr>
      <w:tr w14:paraId="71A9DC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14ED8E30">
            <w:pPr>
              <w:spacing w:line="360" w:lineRule="auto"/>
              <w:jc w:val="center"/>
              <w:rPr>
                <w:rFonts w:ascii="等线" w:hAnsi="等线" w:eastAsia="等线" w:cs="等线"/>
                <w:sz w:val="24"/>
              </w:rPr>
            </w:pPr>
            <w:r>
              <w:rPr>
                <w:rFonts w:hint="eastAsia" w:ascii="等线" w:hAnsi="等线" w:eastAsia="等线" w:cs="等线"/>
                <w:sz w:val="24"/>
              </w:rPr>
              <w:t>预测值（万吨）</w:t>
            </w:r>
          </w:p>
        </w:tc>
        <w:tc>
          <w:tcPr>
            <w:tcW w:w="2840" w:type="dxa"/>
            <w:vAlign w:val="center"/>
          </w:tcPr>
          <w:p w14:paraId="5AA478CA">
            <w:pPr>
              <w:spacing w:line="360" w:lineRule="auto"/>
              <w:jc w:val="center"/>
              <w:rPr>
                <w:rFonts w:ascii="等线" w:hAnsi="等线" w:eastAsia="等线" w:cs="等线"/>
                <w:sz w:val="24"/>
              </w:rPr>
            </w:pPr>
            <w:r>
              <w:rPr>
                <w:rFonts w:hint="eastAsia" w:ascii="等线" w:hAnsi="等线" w:eastAsia="等线" w:cs="等线"/>
                <w:sz w:val="24"/>
              </w:rPr>
              <w:t>933.3</w:t>
            </w:r>
          </w:p>
        </w:tc>
        <w:tc>
          <w:tcPr>
            <w:tcW w:w="2842" w:type="dxa"/>
            <w:vAlign w:val="center"/>
          </w:tcPr>
          <w:p w14:paraId="0058D290">
            <w:pPr>
              <w:spacing w:line="360" w:lineRule="auto"/>
              <w:jc w:val="center"/>
              <w:rPr>
                <w:rFonts w:ascii="等线" w:hAnsi="等线" w:eastAsia="等线" w:cs="等线"/>
                <w:sz w:val="24"/>
              </w:rPr>
            </w:pPr>
            <w:r>
              <w:rPr>
                <w:rFonts w:hint="eastAsia" w:ascii="等线" w:hAnsi="等线" w:eastAsia="等线" w:cs="等线"/>
                <w:sz w:val="24"/>
              </w:rPr>
              <w:t>1732.8</w:t>
            </w:r>
          </w:p>
        </w:tc>
      </w:tr>
    </w:tbl>
    <w:p w14:paraId="08442DE4">
      <w:pPr>
        <w:spacing w:line="360" w:lineRule="auto"/>
        <w:rPr>
          <w:rFonts w:eastAsia="仿宋_GB2312"/>
          <w:sz w:val="28"/>
          <w:szCs w:val="28"/>
        </w:rPr>
      </w:pPr>
      <w:r>
        <w:rPr>
          <w:rFonts w:hint="eastAsia" w:eastAsia="仿宋_GB2312"/>
          <w:sz w:val="28"/>
          <w:szCs w:val="28"/>
        </w:rPr>
        <w:t>（4）预测结果</w:t>
      </w:r>
    </w:p>
    <w:p w14:paraId="7FA93ACC">
      <w:pPr>
        <w:spacing w:line="360" w:lineRule="auto"/>
        <w:ind w:firstLine="560" w:firstLineChars="200"/>
        <w:rPr>
          <w:rFonts w:eastAsia="仿宋_GB2312"/>
          <w:sz w:val="28"/>
          <w:szCs w:val="28"/>
        </w:rPr>
      </w:pPr>
      <w:r>
        <w:rPr>
          <w:rFonts w:hint="eastAsia" w:eastAsia="仿宋_GB2312"/>
          <w:sz w:val="28"/>
          <w:szCs w:val="28"/>
        </w:rPr>
        <w:t>综合时间序列法、回归分析法以及灰色预测法对突泉县货运量的预测结果，基于现有历史货运量数据，并考虑到三种预测模型的使用条件，模型预测精度以及模型的检验结果并咨询相关专家意见，经过适当调整，得出规划期突泉县综合交通货运总量，预测结果见下表。</w:t>
      </w:r>
    </w:p>
    <w:p w14:paraId="1457200F">
      <w:pPr>
        <w:spacing w:line="360" w:lineRule="auto"/>
        <w:jc w:val="center"/>
        <w:rPr>
          <w:b/>
          <w:kern w:val="0"/>
          <w:sz w:val="24"/>
        </w:rPr>
      </w:pPr>
      <w:r>
        <w:rPr>
          <w:rFonts w:hint="eastAsia"/>
          <w:b/>
          <w:kern w:val="0"/>
          <w:sz w:val="24"/>
        </w:rPr>
        <w:t>表3-10  突泉县货运量预测表</w:t>
      </w:r>
    </w:p>
    <w:tbl>
      <w:tblPr>
        <w:tblStyle w:val="1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0"/>
        <w:gridCol w:w="2842"/>
      </w:tblGrid>
      <w:tr w14:paraId="700227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319DBFA0">
            <w:pPr>
              <w:spacing w:line="360" w:lineRule="auto"/>
              <w:jc w:val="center"/>
              <w:rPr>
                <w:rFonts w:ascii="等线" w:hAnsi="等线" w:eastAsia="等线" w:cs="等线"/>
                <w:sz w:val="24"/>
              </w:rPr>
            </w:pPr>
            <w:r>
              <w:rPr>
                <w:rFonts w:hint="eastAsia" w:ascii="等线" w:hAnsi="等线" w:eastAsia="等线" w:cs="等线"/>
                <w:sz w:val="24"/>
              </w:rPr>
              <w:t>年份</w:t>
            </w:r>
          </w:p>
        </w:tc>
        <w:tc>
          <w:tcPr>
            <w:tcW w:w="2840" w:type="dxa"/>
            <w:vAlign w:val="center"/>
          </w:tcPr>
          <w:p w14:paraId="69EB154E">
            <w:pPr>
              <w:spacing w:line="360" w:lineRule="auto"/>
              <w:jc w:val="center"/>
              <w:rPr>
                <w:rFonts w:ascii="等线" w:hAnsi="等线" w:eastAsia="等线" w:cs="等线"/>
                <w:sz w:val="24"/>
              </w:rPr>
            </w:pPr>
            <w:r>
              <w:rPr>
                <w:rFonts w:hint="eastAsia" w:ascii="等线" w:hAnsi="等线" w:eastAsia="等线" w:cs="等线"/>
                <w:sz w:val="24"/>
              </w:rPr>
              <w:t>2025</w:t>
            </w:r>
          </w:p>
        </w:tc>
        <w:tc>
          <w:tcPr>
            <w:tcW w:w="2842" w:type="dxa"/>
            <w:vAlign w:val="center"/>
          </w:tcPr>
          <w:p w14:paraId="188E6282">
            <w:pPr>
              <w:spacing w:line="360" w:lineRule="auto"/>
              <w:jc w:val="center"/>
              <w:rPr>
                <w:rFonts w:ascii="等线" w:hAnsi="等线" w:eastAsia="等线" w:cs="等线"/>
                <w:sz w:val="24"/>
              </w:rPr>
            </w:pPr>
            <w:r>
              <w:rPr>
                <w:rFonts w:hint="eastAsia" w:ascii="等线" w:hAnsi="等线" w:eastAsia="等线" w:cs="等线"/>
                <w:sz w:val="24"/>
              </w:rPr>
              <w:t>2030</w:t>
            </w:r>
          </w:p>
        </w:tc>
      </w:tr>
      <w:tr w14:paraId="7DD16F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694B0B4F">
            <w:pPr>
              <w:spacing w:line="360" w:lineRule="auto"/>
              <w:jc w:val="center"/>
              <w:rPr>
                <w:rFonts w:ascii="等线" w:hAnsi="等线" w:eastAsia="等线" w:cs="等线"/>
                <w:sz w:val="24"/>
              </w:rPr>
            </w:pPr>
            <w:r>
              <w:rPr>
                <w:rFonts w:hint="eastAsia" w:ascii="等线" w:hAnsi="等线" w:eastAsia="等线" w:cs="等线"/>
                <w:sz w:val="24"/>
              </w:rPr>
              <w:t>预测值（万吨）</w:t>
            </w:r>
          </w:p>
        </w:tc>
        <w:tc>
          <w:tcPr>
            <w:tcW w:w="2840" w:type="dxa"/>
            <w:vAlign w:val="center"/>
          </w:tcPr>
          <w:p w14:paraId="516FCF09">
            <w:pPr>
              <w:spacing w:line="360" w:lineRule="auto"/>
              <w:jc w:val="center"/>
              <w:rPr>
                <w:rFonts w:ascii="Consolas" w:hAnsi="Consolas" w:cs="Consolas" w:eastAsiaTheme="minorEastAsia"/>
                <w:kern w:val="0"/>
                <w:sz w:val="24"/>
              </w:rPr>
            </w:pPr>
            <w:r>
              <w:rPr>
                <w:rFonts w:hint="eastAsia" w:ascii="等线" w:hAnsi="等线" w:eastAsia="等线" w:cs="等线"/>
                <w:sz w:val="24"/>
              </w:rPr>
              <w:t>661.10</w:t>
            </w:r>
          </w:p>
        </w:tc>
        <w:tc>
          <w:tcPr>
            <w:tcW w:w="2842" w:type="dxa"/>
            <w:vAlign w:val="center"/>
          </w:tcPr>
          <w:p w14:paraId="1CAB5531">
            <w:pPr>
              <w:spacing w:line="360" w:lineRule="auto"/>
              <w:jc w:val="center"/>
              <w:rPr>
                <w:rFonts w:ascii="等线" w:hAnsi="等线" w:eastAsia="等线" w:cs="等线"/>
                <w:sz w:val="24"/>
              </w:rPr>
            </w:pPr>
            <w:r>
              <w:rPr>
                <w:rFonts w:hint="eastAsia" w:ascii="等线" w:hAnsi="等线" w:eastAsia="等线" w:cs="等线"/>
                <w:sz w:val="24"/>
              </w:rPr>
              <w:t>1088.41</w:t>
            </w:r>
          </w:p>
        </w:tc>
      </w:tr>
    </w:tbl>
    <w:p w14:paraId="20DFAC86">
      <w:pPr>
        <w:spacing w:line="360" w:lineRule="auto"/>
        <w:rPr>
          <w:color w:val="FF0000"/>
          <w:sz w:val="28"/>
          <w:szCs w:val="28"/>
        </w:rPr>
      </w:pPr>
    </w:p>
    <w:p w14:paraId="2CDD25EE">
      <w:pPr>
        <w:spacing w:line="360" w:lineRule="auto"/>
        <w:rPr>
          <w:rFonts w:ascii="仿宋_GB2312" w:eastAsia="仿宋_GB2312"/>
          <w:b/>
          <w:sz w:val="28"/>
          <w:szCs w:val="28"/>
        </w:rPr>
      </w:pPr>
      <w:bookmarkStart w:id="19" w:name="OLE_LINK1"/>
      <w:r>
        <w:rPr>
          <w:rFonts w:hint="eastAsia" w:ascii="仿宋_GB2312" w:eastAsia="仿宋_GB2312"/>
          <w:b/>
          <w:sz w:val="28"/>
          <w:szCs w:val="28"/>
        </w:rPr>
        <w:t>（三）货运结构分析</w:t>
      </w:r>
    </w:p>
    <w:bookmarkEnd w:id="19"/>
    <w:p w14:paraId="102E7F29">
      <w:pPr>
        <w:spacing w:line="360" w:lineRule="auto"/>
        <w:ind w:firstLine="560" w:firstLineChars="200"/>
        <w:rPr>
          <w:rFonts w:eastAsia="仿宋_GB2312"/>
          <w:sz w:val="28"/>
          <w:szCs w:val="28"/>
        </w:rPr>
      </w:pPr>
      <w:r>
        <w:rPr>
          <w:rFonts w:hint="eastAsia" w:eastAsia="仿宋_GB2312"/>
          <w:sz w:val="28"/>
          <w:szCs w:val="28"/>
        </w:rPr>
        <w:t>目前，突泉对外货运仅仅依靠公路，铁路尚未建设运行，场站基础设施建设滞后影响。随着“十四五”期间突泉县及周边铁路建设步伐的加快，这种局面在未来</w:t>
      </w:r>
      <w:r>
        <w:rPr>
          <w:rFonts w:eastAsia="仿宋_GB2312"/>
          <w:sz w:val="28"/>
          <w:szCs w:val="28"/>
        </w:rPr>
        <w:t>5-10</w:t>
      </w:r>
      <w:r>
        <w:rPr>
          <w:rFonts w:hint="eastAsia" w:eastAsia="仿宋_GB2312"/>
          <w:sz w:val="28"/>
          <w:szCs w:val="28"/>
        </w:rPr>
        <w:t>年内将得到显著改观，铁路运输方式的吸引力将得到实质性的提升，货物运输结构也必将趋于合理。</w:t>
      </w:r>
    </w:p>
    <w:p w14:paraId="4777A44D">
      <w:pPr>
        <w:spacing w:line="360" w:lineRule="auto"/>
        <w:ind w:firstLine="560" w:firstLineChars="200"/>
        <w:rPr>
          <w:rFonts w:eastAsia="仿宋_GB2312"/>
          <w:sz w:val="28"/>
          <w:szCs w:val="28"/>
        </w:rPr>
      </w:pPr>
      <w:r>
        <w:rPr>
          <w:rFonts w:hint="eastAsia" w:eastAsia="仿宋_GB2312"/>
          <w:sz w:val="28"/>
          <w:szCs w:val="28"/>
        </w:rPr>
        <w:t>从未来货运质量需求结构演化趋势来看，小件快递物流需求量将随着城乡经济一体化发展，呈现高速增长态势。快捷运输货物数量规模占总货运量的比例尽管还比较小，但对于地区经济增长的拉动作用却不断增强。随着通用机场的建成运营，各类航线的增加，航空网络的完善，跨境、跨区域高附加值货物的快捷运输需求量将进入一个高速增长阶段。货运结构将日趋优化，对于突泉商贸物流产业的促进作用将进一步增强。</w:t>
      </w:r>
    </w:p>
    <w:p w14:paraId="09756164">
      <w:pPr>
        <w:spacing w:line="360" w:lineRule="auto"/>
        <w:jc w:val="center"/>
        <w:rPr>
          <w:b/>
          <w:kern w:val="0"/>
          <w:sz w:val="24"/>
        </w:rPr>
      </w:pPr>
      <w:r>
        <w:rPr>
          <w:rFonts w:hint="eastAsia"/>
          <w:b/>
          <w:kern w:val="0"/>
          <w:sz w:val="24"/>
        </w:rPr>
        <w:t>表</w:t>
      </w:r>
      <w:r>
        <w:rPr>
          <w:b/>
          <w:kern w:val="0"/>
          <w:sz w:val="24"/>
        </w:rPr>
        <w:t xml:space="preserve">3-13  </w:t>
      </w:r>
      <w:r>
        <w:rPr>
          <w:rFonts w:hint="eastAsia"/>
          <w:b/>
          <w:kern w:val="0"/>
          <w:sz w:val="24"/>
        </w:rPr>
        <w:t>突泉县货运市场预测表</w:t>
      </w:r>
    </w:p>
    <w:tbl>
      <w:tblPr>
        <w:tblStyle w:val="10"/>
        <w:tblW w:w="852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1705"/>
        <w:gridCol w:w="1705"/>
        <w:gridCol w:w="1706"/>
        <w:gridCol w:w="1706"/>
      </w:tblGrid>
      <w:tr w14:paraId="71C1D2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5" w:type="dxa"/>
          </w:tcPr>
          <w:p w14:paraId="00597EF2">
            <w:pPr>
              <w:spacing w:line="360" w:lineRule="auto"/>
              <w:jc w:val="center"/>
              <w:rPr>
                <w:rFonts w:ascii="等线" w:hAnsi="等线" w:eastAsia="等线" w:cs="等线"/>
                <w:sz w:val="24"/>
              </w:rPr>
            </w:pPr>
            <w:r>
              <w:rPr>
                <w:rFonts w:hint="eastAsia" w:ascii="等线" w:hAnsi="等线" w:eastAsia="等线" w:cs="等线"/>
                <w:sz w:val="24"/>
              </w:rPr>
              <w:t>年度</w:t>
            </w:r>
          </w:p>
        </w:tc>
        <w:tc>
          <w:tcPr>
            <w:tcW w:w="1705" w:type="dxa"/>
          </w:tcPr>
          <w:p w14:paraId="106D37FF">
            <w:pPr>
              <w:spacing w:line="360" w:lineRule="auto"/>
              <w:jc w:val="center"/>
              <w:rPr>
                <w:rFonts w:ascii="等线" w:hAnsi="等线" w:eastAsia="等线" w:cs="等线"/>
                <w:sz w:val="24"/>
              </w:rPr>
            </w:pPr>
            <w:r>
              <w:rPr>
                <w:rFonts w:hint="eastAsia" w:ascii="等线" w:hAnsi="等线" w:eastAsia="等线" w:cs="等线"/>
                <w:sz w:val="24"/>
              </w:rPr>
              <w:t>公路</w:t>
            </w:r>
          </w:p>
        </w:tc>
        <w:tc>
          <w:tcPr>
            <w:tcW w:w="1705" w:type="dxa"/>
          </w:tcPr>
          <w:p w14:paraId="153E94EC">
            <w:pPr>
              <w:spacing w:line="360" w:lineRule="auto"/>
              <w:jc w:val="center"/>
              <w:rPr>
                <w:rFonts w:ascii="等线" w:hAnsi="等线" w:eastAsia="等线" w:cs="等线"/>
                <w:sz w:val="24"/>
              </w:rPr>
            </w:pPr>
            <w:r>
              <w:rPr>
                <w:rFonts w:hint="eastAsia" w:ascii="等线" w:hAnsi="等线" w:eastAsia="等线" w:cs="等线"/>
                <w:sz w:val="24"/>
              </w:rPr>
              <w:t>铁路</w:t>
            </w:r>
          </w:p>
        </w:tc>
        <w:tc>
          <w:tcPr>
            <w:tcW w:w="1706" w:type="dxa"/>
          </w:tcPr>
          <w:p w14:paraId="45085B8F">
            <w:pPr>
              <w:spacing w:line="360" w:lineRule="auto"/>
              <w:jc w:val="center"/>
              <w:rPr>
                <w:rFonts w:ascii="等线" w:hAnsi="等线" w:eastAsia="等线" w:cs="等线"/>
                <w:sz w:val="24"/>
              </w:rPr>
            </w:pPr>
            <w:r>
              <w:rPr>
                <w:rFonts w:hint="eastAsia" w:ascii="等线" w:hAnsi="等线" w:eastAsia="等线" w:cs="等线"/>
                <w:sz w:val="24"/>
              </w:rPr>
              <w:t>航空</w:t>
            </w:r>
          </w:p>
        </w:tc>
        <w:tc>
          <w:tcPr>
            <w:tcW w:w="1706" w:type="dxa"/>
          </w:tcPr>
          <w:p w14:paraId="775DABAB">
            <w:pPr>
              <w:spacing w:line="360" w:lineRule="auto"/>
              <w:jc w:val="center"/>
              <w:rPr>
                <w:rFonts w:ascii="等线" w:hAnsi="等线" w:eastAsia="等线" w:cs="等线"/>
                <w:sz w:val="24"/>
              </w:rPr>
            </w:pPr>
            <w:r>
              <w:rPr>
                <w:rFonts w:hint="eastAsia" w:ascii="等线" w:hAnsi="等线" w:eastAsia="等线" w:cs="等线"/>
                <w:sz w:val="24"/>
              </w:rPr>
              <w:t>合计</w:t>
            </w:r>
          </w:p>
        </w:tc>
      </w:tr>
      <w:tr w14:paraId="055052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5" w:type="dxa"/>
          </w:tcPr>
          <w:p w14:paraId="7A8F5359">
            <w:pPr>
              <w:spacing w:line="360" w:lineRule="auto"/>
              <w:jc w:val="center"/>
              <w:rPr>
                <w:rFonts w:ascii="等线" w:hAnsi="等线" w:eastAsia="等线" w:cs="等线"/>
                <w:sz w:val="24"/>
              </w:rPr>
            </w:pPr>
            <w:r>
              <w:rPr>
                <w:rFonts w:ascii="等线" w:hAnsi="等线" w:eastAsia="等线" w:cs="等线"/>
                <w:sz w:val="24"/>
              </w:rPr>
              <w:t>2025年</w:t>
            </w:r>
          </w:p>
        </w:tc>
        <w:tc>
          <w:tcPr>
            <w:tcW w:w="1705" w:type="dxa"/>
          </w:tcPr>
          <w:p w14:paraId="506A34BF">
            <w:pPr>
              <w:spacing w:line="360" w:lineRule="auto"/>
              <w:jc w:val="center"/>
              <w:rPr>
                <w:rFonts w:ascii="等线" w:hAnsi="等线" w:eastAsia="等线" w:cs="等线"/>
                <w:sz w:val="24"/>
              </w:rPr>
            </w:pPr>
            <w:r>
              <w:rPr>
                <w:rFonts w:hint="eastAsia" w:ascii="等线" w:hAnsi="等线" w:eastAsia="等线" w:cs="等线"/>
                <w:sz w:val="24"/>
              </w:rPr>
              <w:t>90</w:t>
            </w:r>
            <w:r>
              <w:rPr>
                <w:rFonts w:ascii="等线" w:hAnsi="等线" w:eastAsia="等线" w:cs="等线"/>
                <w:sz w:val="24"/>
              </w:rPr>
              <w:t>.62%</w:t>
            </w:r>
          </w:p>
        </w:tc>
        <w:tc>
          <w:tcPr>
            <w:tcW w:w="1705" w:type="dxa"/>
          </w:tcPr>
          <w:p w14:paraId="4FC4F972">
            <w:pPr>
              <w:spacing w:line="360" w:lineRule="auto"/>
              <w:jc w:val="center"/>
              <w:rPr>
                <w:rFonts w:ascii="等线" w:hAnsi="等线" w:eastAsia="等线" w:cs="等线"/>
                <w:sz w:val="24"/>
              </w:rPr>
            </w:pPr>
            <w:r>
              <w:rPr>
                <w:rFonts w:hint="eastAsia" w:ascii="等线" w:hAnsi="等线" w:eastAsia="等线" w:cs="等线"/>
                <w:sz w:val="24"/>
              </w:rPr>
              <w:t>5.23</w:t>
            </w:r>
            <w:r>
              <w:rPr>
                <w:rFonts w:ascii="等线" w:hAnsi="等线" w:eastAsia="等线" w:cs="等线"/>
                <w:sz w:val="24"/>
              </w:rPr>
              <w:t>%</w:t>
            </w:r>
          </w:p>
        </w:tc>
        <w:tc>
          <w:tcPr>
            <w:tcW w:w="1706" w:type="dxa"/>
          </w:tcPr>
          <w:p w14:paraId="6252E118">
            <w:pPr>
              <w:spacing w:line="360" w:lineRule="auto"/>
              <w:jc w:val="center"/>
              <w:rPr>
                <w:rFonts w:ascii="等线" w:hAnsi="等线" w:eastAsia="等线" w:cs="等线"/>
                <w:sz w:val="24"/>
              </w:rPr>
            </w:pPr>
            <w:r>
              <w:rPr>
                <w:rFonts w:hint="eastAsia" w:ascii="等线" w:hAnsi="等线" w:eastAsia="等线" w:cs="等线"/>
                <w:sz w:val="24"/>
              </w:rPr>
              <w:t>4.15</w:t>
            </w:r>
            <w:r>
              <w:rPr>
                <w:rFonts w:ascii="等线" w:hAnsi="等线" w:eastAsia="等线" w:cs="等线"/>
                <w:sz w:val="24"/>
              </w:rPr>
              <w:t>%</w:t>
            </w:r>
          </w:p>
        </w:tc>
        <w:tc>
          <w:tcPr>
            <w:tcW w:w="1706" w:type="dxa"/>
          </w:tcPr>
          <w:p w14:paraId="3B76F60F">
            <w:pPr>
              <w:spacing w:line="360" w:lineRule="auto"/>
              <w:jc w:val="center"/>
              <w:rPr>
                <w:rFonts w:ascii="等线" w:hAnsi="等线" w:eastAsia="等线" w:cs="等线"/>
                <w:sz w:val="24"/>
              </w:rPr>
            </w:pPr>
            <w:r>
              <w:rPr>
                <w:rFonts w:ascii="等线" w:hAnsi="等线" w:eastAsia="等线" w:cs="等线"/>
                <w:sz w:val="24"/>
              </w:rPr>
              <w:t>100%</w:t>
            </w:r>
          </w:p>
        </w:tc>
      </w:tr>
      <w:tr w14:paraId="15F5D5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5" w:type="dxa"/>
          </w:tcPr>
          <w:p w14:paraId="7C4D34E4">
            <w:pPr>
              <w:spacing w:line="360" w:lineRule="auto"/>
              <w:jc w:val="center"/>
              <w:rPr>
                <w:rFonts w:ascii="等线" w:hAnsi="等线" w:eastAsia="等线" w:cs="等线"/>
                <w:sz w:val="24"/>
              </w:rPr>
            </w:pPr>
            <w:r>
              <w:rPr>
                <w:rFonts w:ascii="等线" w:hAnsi="等线" w:eastAsia="等线" w:cs="等线"/>
                <w:sz w:val="24"/>
              </w:rPr>
              <w:t>2030年</w:t>
            </w:r>
          </w:p>
        </w:tc>
        <w:tc>
          <w:tcPr>
            <w:tcW w:w="1705" w:type="dxa"/>
          </w:tcPr>
          <w:p w14:paraId="44C98A55">
            <w:pPr>
              <w:spacing w:line="360" w:lineRule="auto"/>
              <w:jc w:val="center"/>
              <w:rPr>
                <w:rFonts w:ascii="等线" w:hAnsi="等线" w:eastAsia="等线" w:cs="等线"/>
                <w:sz w:val="24"/>
              </w:rPr>
            </w:pPr>
            <w:r>
              <w:rPr>
                <w:rFonts w:hint="eastAsia" w:ascii="等线" w:hAnsi="等线" w:eastAsia="等线" w:cs="等线"/>
                <w:sz w:val="24"/>
              </w:rPr>
              <w:t>77.</w:t>
            </w:r>
            <w:r>
              <w:rPr>
                <w:rFonts w:ascii="等线" w:hAnsi="等线" w:eastAsia="等线" w:cs="等线"/>
                <w:sz w:val="24"/>
              </w:rPr>
              <w:t>98%</w:t>
            </w:r>
          </w:p>
        </w:tc>
        <w:tc>
          <w:tcPr>
            <w:tcW w:w="1705" w:type="dxa"/>
          </w:tcPr>
          <w:p w14:paraId="7984EC3C">
            <w:pPr>
              <w:spacing w:line="360" w:lineRule="auto"/>
              <w:jc w:val="center"/>
              <w:rPr>
                <w:rFonts w:ascii="等线" w:hAnsi="等线" w:eastAsia="等线" w:cs="等线"/>
                <w:sz w:val="24"/>
              </w:rPr>
            </w:pPr>
            <w:r>
              <w:rPr>
                <w:rFonts w:hint="eastAsia" w:ascii="等线" w:hAnsi="等线" w:eastAsia="等线" w:cs="等线"/>
                <w:sz w:val="24"/>
              </w:rPr>
              <w:t>11.27</w:t>
            </w:r>
            <w:r>
              <w:rPr>
                <w:rFonts w:ascii="等线" w:hAnsi="等线" w:eastAsia="等线" w:cs="等线"/>
                <w:sz w:val="24"/>
              </w:rPr>
              <w:t>%</w:t>
            </w:r>
          </w:p>
        </w:tc>
        <w:tc>
          <w:tcPr>
            <w:tcW w:w="1706" w:type="dxa"/>
          </w:tcPr>
          <w:p w14:paraId="2A8AF1E1">
            <w:pPr>
              <w:spacing w:line="360" w:lineRule="auto"/>
              <w:jc w:val="center"/>
              <w:rPr>
                <w:rFonts w:ascii="等线" w:hAnsi="等线" w:eastAsia="等线" w:cs="等线"/>
                <w:sz w:val="24"/>
              </w:rPr>
            </w:pPr>
            <w:r>
              <w:rPr>
                <w:rFonts w:hint="eastAsia" w:ascii="等线" w:hAnsi="等线" w:eastAsia="等线" w:cs="等线"/>
                <w:sz w:val="24"/>
              </w:rPr>
              <w:t>10.75</w:t>
            </w:r>
            <w:r>
              <w:rPr>
                <w:rFonts w:ascii="等线" w:hAnsi="等线" w:eastAsia="等线" w:cs="等线"/>
                <w:sz w:val="24"/>
              </w:rPr>
              <w:t>%</w:t>
            </w:r>
          </w:p>
        </w:tc>
        <w:tc>
          <w:tcPr>
            <w:tcW w:w="1706" w:type="dxa"/>
          </w:tcPr>
          <w:p w14:paraId="771F724E">
            <w:pPr>
              <w:spacing w:line="360" w:lineRule="auto"/>
              <w:jc w:val="center"/>
              <w:rPr>
                <w:rFonts w:ascii="等线" w:hAnsi="等线" w:eastAsia="等线" w:cs="等线"/>
                <w:sz w:val="24"/>
              </w:rPr>
            </w:pPr>
            <w:r>
              <w:rPr>
                <w:rFonts w:ascii="等线" w:hAnsi="等线" w:eastAsia="等线" w:cs="等线"/>
                <w:sz w:val="24"/>
              </w:rPr>
              <w:t>100%</w:t>
            </w:r>
          </w:p>
        </w:tc>
      </w:tr>
    </w:tbl>
    <w:p w14:paraId="3763A1B5">
      <w:pPr>
        <w:rPr>
          <w:rFonts w:ascii="仿宋" w:hAnsi="仿宋" w:eastAsia="仿宋" w:cs="仿宋"/>
          <w:sz w:val="28"/>
          <w:szCs w:val="28"/>
        </w:rPr>
      </w:pPr>
    </w:p>
    <w:p w14:paraId="4B3D4BE8">
      <w:pPr>
        <w:pStyle w:val="5"/>
        <w:rPr>
          <w:rFonts w:ascii="华文仿宋" w:hAnsi="华文仿宋" w:eastAsia="华文仿宋"/>
        </w:rPr>
      </w:pPr>
      <w:r>
        <w:rPr>
          <w:rFonts w:hint="eastAsia" w:ascii="华文仿宋" w:hAnsi="华文仿宋" w:eastAsia="华文仿宋"/>
        </w:rPr>
        <w:t>3</w:t>
      </w:r>
      <w:r>
        <w:rPr>
          <w:rFonts w:ascii="华文仿宋" w:hAnsi="华文仿宋" w:eastAsia="华文仿宋"/>
        </w:rPr>
        <w:t xml:space="preserve"> </w:t>
      </w:r>
      <w:r>
        <w:rPr>
          <w:rFonts w:hint="eastAsia" w:ascii="华文仿宋" w:hAnsi="华文仿宋" w:eastAsia="华文仿宋"/>
        </w:rPr>
        <w:t>突泉交通经济适应性分析</w:t>
      </w:r>
    </w:p>
    <w:p w14:paraId="295A13D2">
      <w:pPr>
        <w:pStyle w:val="6"/>
        <w:rPr>
          <w:rFonts w:ascii="华文仿宋" w:hAnsi="华文仿宋" w:eastAsia="华文仿宋"/>
        </w:rPr>
      </w:pPr>
      <w:r>
        <w:rPr>
          <w:rFonts w:hint="eastAsia" w:ascii="华文仿宋" w:hAnsi="华文仿宋" w:eastAsia="华文仿宋"/>
          <w:lang w:val="zh-CN"/>
        </w:rPr>
        <w:t>3.1</w:t>
      </w:r>
      <w:r>
        <w:rPr>
          <w:rFonts w:ascii="华文仿宋" w:hAnsi="华文仿宋" w:eastAsia="华文仿宋"/>
          <w:lang w:val="zh-CN"/>
        </w:rPr>
        <w:t xml:space="preserve"> 交通系统经济适应性评价指标体系</w:t>
      </w:r>
    </w:p>
    <w:p w14:paraId="189E8E17">
      <w:pPr>
        <w:spacing w:line="360" w:lineRule="auto"/>
        <w:ind w:firstLine="480"/>
        <w:rPr>
          <w:rFonts w:ascii="华文仿宋" w:hAnsi="华文仿宋" w:eastAsia="华文仿宋"/>
          <w:color w:val="000000"/>
          <w:sz w:val="28"/>
          <w:szCs w:val="28"/>
          <w:lang w:val="zh-CN"/>
        </w:rPr>
      </w:pPr>
      <w:r>
        <w:rPr>
          <w:rFonts w:hint="eastAsia" w:ascii="华文仿宋" w:hAnsi="华文仿宋" w:eastAsia="华文仿宋"/>
          <w:color w:val="000000"/>
          <w:sz w:val="28"/>
          <w:szCs w:val="28"/>
          <w:lang w:val="zh-CN"/>
        </w:rPr>
        <w:t>纵观世界交通运输业的发展史，可将交通运输业的发展归纳为以下几种类型：超前型，即交通运输业发展相对于国家</w:t>
      </w:r>
      <w:r>
        <w:rPr>
          <w:rFonts w:ascii="华文仿宋" w:hAnsi="华文仿宋" w:eastAsia="华文仿宋"/>
          <w:color w:val="000000"/>
          <w:sz w:val="28"/>
          <w:szCs w:val="28"/>
          <w:lang w:val="zh-CN"/>
        </w:rPr>
        <w:t>(</w:t>
      </w:r>
      <w:r>
        <w:rPr>
          <w:rFonts w:hint="eastAsia" w:ascii="华文仿宋" w:hAnsi="华文仿宋" w:eastAsia="华文仿宋"/>
          <w:color w:val="000000"/>
          <w:sz w:val="28"/>
          <w:szCs w:val="28"/>
          <w:lang w:val="zh-CN"/>
        </w:rPr>
        <w:t>或地区</w:t>
      </w:r>
      <w:r>
        <w:rPr>
          <w:rFonts w:ascii="华文仿宋" w:hAnsi="华文仿宋" w:eastAsia="华文仿宋"/>
          <w:color w:val="000000"/>
          <w:sz w:val="28"/>
          <w:szCs w:val="28"/>
          <w:lang w:val="zh-CN"/>
        </w:rPr>
        <w:t>)</w:t>
      </w:r>
      <w:r>
        <w:rPr>
          <w:rFonts w:hint="eastAsia" w:ascii="华文仿宋" w:hAnsi="华文仿宋" w:eastAsia="华文仿宋"/>
          <w:color w:val="000000"/>
          <w:sz w:val="28"/>
          <w:szCs w:val="28"/>
          <w:lang w:val="zh-CN"/>
        </w:rPr>
        <w:t>经济系统的直接生产活动超前一个时期，能够促进经济的发展；同步型，即国家</w:t>
      </w:r>
      <w:r>
        <w:rPr>
          <w:rFonts w:ascii="华文仿宋" w:hAnsi="华文仿宋" w:eastAsia="华文仿宋"/>
          <w:color w:val="000000"/>
          <w:sz w:val="28"/>
          <w:szCs w:val="28"/>
          <w:lang w:val="zh-CN"/>
        </w:rPr>
        <w:t>(</w:t>
      </w:r>
      <w:r>
        <w:rPr>
          <w:rFonts w:hint="eastAsia" w:ascii="华文仿宋" w:hAnsi="华文仿宋" w:eastAsia="华文仿宋"/>
          <w:color w:val="000000"/>
          <w:sz w:val="28"/>
          <w:szCs w:val="28"/>
          <w:lang w:val="zh-CN"/>
        </w:rPr>
        <w:t>或地区</w:t>
      </w:r>
      <w:r>
        <w:rPr>
          <w:rFonts w:ascii="华文仿宋" w:hAnsi="华文仿宋" w:eastAsia="华文仿宋"/>
          <w:color w:val="000000"/>
          <w:sz w:val="28"/>
          <w:szCs w:val="28"/>
          <w:lang w:val="zh-CN"/>
        </w:rPr>
        <w:t>)</w:t>
      </w:r>
      <w:r>
        <w:rPr>
          <w:rFonts w:hint="eastAsia" w:ascii="华文仿宋" w:hAnsi="华文仿宋" w:eastAsia="华文仿宋"/>
          <w:color w:val="000000"/>
          <w:sz w:val="28"/>
          <w:szCs w:val="28"/>
          <w:lang w:val="zh-CN"/>
        </w:rPr>
        <w:t>直接生产活动与其交通基础设施建设基本同步，这是一种“集约化”的协调型发展模式，交通运输业自身的投资效果较好，能及时保证国民经济各部门正常运转、协调发展以及满足居民生活的需要，综合经济效果也好；滞后型，即交通运输业的发展落后于直接生产部门，在一定时间内阻碍了经济发展，成为经济发展的“瓶颈”，限制了生产力的进一步增长和宏观经济效益提高。</w:t>
      </w:r>
    </w:p>
    <w:p w14:paraId="00309AD0">
      <w:pPr>
        <w:spacing w:line="360" w:lineRule="auto"/>
        <w:ind w:firstLine="480"/>
        <w:rPr>
          <w:rFonts w:ascii="华文仿宋" w:hAnsi="华文仿宋" w:eastAsia="华文仿宋"/>
          <w:color w:val="000000"/>
          <w:sz w:val="28"/>
          <w:szCs w:val="28"/>
          <w:lang w:val="zh-CN"/>
        </w:rPr>
      </w:pPr>
      <w:r>
        <w:rPr>
          <w:rFonts w:hint="eastAsia" w:ascii="华文仿宋" w:hAnsi="华文仿宋" w:eastAsia="华文仿宋"/>
          <w:color w:val="000000"/>
          <w:sz w:val="28"/>
          <w:szCs w:val="28"/>
          <w:lang w:val="zh-CN"/>
        </w:rPr>
        <w:t>交通与社会经济发展的协同模式是其经济适应性的具体体现。如果交通系统滞后于区域经济发展，将会影响生产要素的流通，尤其是对运输的时效性和灵活性要求较高的产业，发展将会受到制约</w:t>
      </w:r>
      <w:r>
        <w:rPr>
          <w:rFonts w:ascii="华文仿宋" w:hAnsi="华文仿宋" w:eastAsia="华文仿宋"/>
          <w:color w:val="000000"/>
          <w:sz w:val="28"/>
          <w:szCs w:val="28"/>
          <w:lang w:val="zh-CN"/>
        </w:rPr>
        <w:t>;</w:t>
      </w:r>
      <w:r>
        <w:rPr>
          <w:rFonts w:hint="eastAsia" w:ascii="华文仿宋" w:hAnsi="华文仿宋" w:eastAsia="华文仿宋"/>
          <w:color w:val="000000"/>
          <w:sz w:val="28"/>
          <w:szCs w:val="28"/>
          <w:lang w:val="zh-CN"/>
        </w:rPr>
        <w:t>如果能与社会经济发展同步，或适当超前于社会经济发展，将会发挥交通基础设施的引导功能，促进区域交通经济的一体化发展。对交通系统与经济发展的协同模式进行分析和评价，采取优化调控措施，将有利于两者之间形成了相互推动、相互协调的良性发展关系。</w:t>
      </w:r>
    </w:p>
    <w:tbl>
      <w:tblPr>
        <w:tblStyle w:val="16"/>
        <w:tblW w:w="490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45"/>
        <w:gridCol w:w="4637"/>
        <w:gridCol w:w="2526"/>
      </w:tblGrid>
      <w:tr w14:paraId="62293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2" w:type="pct"/>
            <w:tcBorders>
              <w:top w:val="single" w:color="auto" w:sz="12" w:space="0"/>
              <w:bottom w:val="single" w:color="auto" w:sz="12" w:space="0"/>
            </w:tcBorders>
          </w:tcPr>
          <w:p w14:paraId="0A1FA614">
            <w:pPr>
              <w:rPr>
                <w:rFonts w:ascii="华文仿宋" w:hAnsi="华文仿宋" w:eastAsia="华文仿宋"/>
                <w:b w:val="0"/>
                <w:bCs w:val="0"/>
                <w:color w:val="000000"/>
                <w:kern w:val="0"/>
                <w:sz w:val="24"/>
                <w:lang w:val="zh-CN"/>
              </w:rPr>
            </w:pPr>
          </w:p>
        </w:tc>
        <w:tc>
          <w:tcPr>
            <w:tcW w:w="2412" w:type="pct"/>
            <w:tcBorders>
              <w:top w:val="single" w:color="auto" w:sz="12" w:space="0"/>
              <w:bottom w:val="single" w:color="auto" w:sz="12" w:space="0"/>
            </w:tcBorders>
          </w:tcPr>
          <w:p w14:paraId="0A9814BE">
            <w:pPr>
              <w:rPr>
                <w:rFonts w:ascii="华文仿宋" w:hAnsi="华文仿宋" w:eastAsia="华文仿宋"/>
                <w:b w:val="0"/>
                <w:bCs w:val="0"/>
                <w:color w:val="000000"/>
                <w:kern w:val="0"/>
                <w:sz w:val="24"/>
                <w:lang w:val="zh-CN"/>
              </w:rPr>
            </w:pPr>
            <w:r>
              <w:rPr>
                <w:rFonts w:hint="eastAsia" w:ascii="华文仿宋" w:hAnsi="华文仿宋" w:eastAsia="华文仿宋"/>
                <w:b/>
                <w:bCs/>
                <w:color w:val="000000"/>
                <w:kern w:val="0"/>
                <w:sz w:val="24"/>
                <w:lang w:val="zh-CN"/>
              </w:rPr>
              <w:t>内容</w:t>
            </w:r>
          </w:p>
        </w:tc>
        <w:tc>
          <w:tcPr>
            <w:tcW w:w="1314" w:type="pct"/>
            <w:tcBorders>
              <w:top w:val="single" w:color="auto" w:sz="12" w:space="0"/>
              <w:bottom w:val="single" w:color="auto" w:sz="12" w:space="0"/>
            </w:tcBorders>
          </w:tcPr>
          <w:p w14:paraId="6D228836">
            <w:pPr>
              <w:rPr>
                <w:rFonts w:ascii="华文仿宋" w:hAnsi="华文仿宋" w:eastAsia="华文仿宋"/>
                <w:b w:val="0"/>
                <w:bCs w:val="0"/>
                <w:color w:val="000000"/>
                <w:kern w:val="0"/>
                <w:sz w:val="24"/>
                <w:lang w:val="zh-CN"/>
              </w:rPr>
            </w:pPr>
            <w:r>
              <w:rPr>
                <w:rFonts w:hint="eastAsia" w:ascii="华文仿宋" w:hAnsi="华文仿宋" w:eastAsia="华文仿宋"/>
                <w:b/>
                <w:bCs/>
                <w:color w:val="000000"/>
                <w:kern w:val="0"/>
                <w:sz w:val="24"/>
                <w:lang w:val="zh-CN"/>
              </w:rPr>
              <w:t>实现途径</w:t>
            </w:r>
          </w:p>
        </w:tc>
      </w:tr>
      <w:tr w14:paraId="5AB93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2" w:type="pct"/>
            <w:tcBorders>
              <w:top w:val="single" w:color="auto" w:sz="12" w:space="0"/>
              <w:bottom w:val="nil"/>
            </w:tcBorders>
          </w:tcPr>
          <w:p w14:paraId="7844CA0B">
            <w:pPr>
              <w:tabs>
                <w:tab w:val="left" w:pos="1812"/>
              </w:tabs>
              <w:rPr>
                <w:rFonts w:ascii="华文仿宋" w:hAnsi="华文仿宋" w:eastAsia="华文仿宋"/>
                <w:b w:val="0"/>
                <w:bCs w:val="0"/>
                <w:color w:val="000000"/>
                <w:kern w:val="0"/>
                <w:sz w:val="24"/>
                <w:lang w:val="zh-CN"/>
              </w:rPr>
            </w:pPr>
            <w:r>
              <w:rPr>
                <w:rFonts w:hint="eastAsia" w:ascii="华文仿宋" w:hAnsi="华文仿宋" w:eastAsia="华文仿宋"/>
                <w:b/>
                <w:bCs/>
                <w:color w:val="000000"/>
                <w:kern w:val="0"/>
                <w:sz w:val="24"/>
                <w:lang w:val="zh-CN"/>
              </w:rPr>
              <w:t>目标适应</w:t>
            </w:r>
          </w:p>
        </w:tc>
        <w:tc>
          <w:tcPr>
            <w:tcW w:w="2412" w:type="pct"/>
            <w:tcBorders>
              <w:top w:val="single" w:color="auto" w:sz="12" w:space="0"/>
              <w:bottom w:val="nil"/>
            </w:tcBorders>
          </w:tcPr>
          <w:p w14:paraId="4EC6113E">
            <w:pPr>
              <w:rPr>
                <w:rFonts w:ascii="华文仿宋" w:hAnsi="华文仿宋" w:eastAsia="华文仿宋"/>
                <w:color w:val="000000"/>
                <w:kern w:val="0"/>
                <w:sz w:val="24"/>
                <w:lang w:val="zh-CN"/>
              </w:rPr>
            </w:pPr>
            <w:r>
              <w:rPr>
                <w:rFonts w:hint="eastAsia" w:ascii="华文仿宋" w:hAnsi="华文仿宋" w:eastAsia="华文仿宋"/>
                <w:color w:val="000000"/>
                <w:kern w:val="0"/>
                <w:sz w:val="24"/>
                <w:lang w:val="zh-CN"/>
              </w:rPr>
              <w:t>交通运输服务目标</w:t>
            </w:r>
          </w:p>
          <w:p w14:paraId="17740BEA">
            <w:pPr>
              <w:rPr>
                <w:rFonts w:ascii="华文仿宋" w:hAnsi="华文仿宋" w:eastAsia="华文仿宋"/>
                <w:color w:val="000000"/>
                <w:kern w:val="0"/>
                <w:sz w:val="24"/>
                <w:lang w:val="zh-CN"/>
              </w:rPr>
            </w:pPr>
            <w:r>
              <w:rPr>
                <w:rFonts w:hint="eastAsia" w:ascii="华文仿宋" w:hAnsi="华文仿宋" w:eastAsia="华文仿宋"/>
                <w:color w:val="000000"/>
                <w:kern w:val="0"/>
                <w:sz w:val="24"/>
                <w:lang w:val="zh-CN"/>
              </w:rPr>
              <w:t>经营与管理目标</w:t>
            </w:r>
          </w:p>
          <w:p w14:paraId="573EE26E">
            <w:pPr>
              <w:rPr>
                <w:rFonts w:ascii="华文仿宋" w:hAnsi="华文仿宋" w:eastAsia="华文仿宋"/>
                <w:color w:val="000000"/>
                <w:kern w:val="0"/>
                <w:sz w:val="24"/>
                <w:lang w:val="zh-CN"/>
              </w:rPr>
            </w:pPr>
            <w:r>
              <w:rPr>
                <w:rFonts w:hint="eastAsia" w:ascii="华文仿宋" w:hAnsi="华文仿宋" w:eastAsia="华文仿宋"/>
                <w:color w:val="000000"/>
                <w:kern w:val="0"/>
                <w:sz w:val="24"/>
                <w:lang w:val="zh-CN"/>
              </w:rPr>
              <w:t>行业发展目标</w:t>
            </w:r>
          </w:p>
        </w:tc>
        <w:tc>
          <w:tcPr>
            <w:tcW w:w="1314" w:type="pct"/>
            <w:tcBorders>
              <w:top w:val="single" w:color="auto" w:sz="12" w:space="0"/>
              <w:bottom w:val="nil"/>
            </w:tcBorders>
          </w:tcPr>
          <w:p w14:paraId="2BB2EC67">
            <w:pPr>
              <w:rPr>
                <w:rFonts w:ascii="华文仿宋" w:hAnsi="华文仿宋" w:eastAsia="华文仿宋"/>
                <w:color w:val="000000"/>
                <w:kern w:val="0"/>
                <w:sz w:val="24"/>
                <w:lang w:val="zh-CN"/>
              </w:rPr>
            </w:pPr>
            <w:r>
              <w:rPr>
                <w:rFonts w:hint="eastAsia" w:ascii="华文仿宋" w:hAnsi="华文仿宋" w:eastAsia="华文仿宋"/>
                <w:color w:val="000000"/>
                <w:kern w:val="0"/>
                <w:sz w:val="24"/>
                <w:lang w:val="zh-CN"/>
              </w:rPr>
              <w:t>政策引导</w:t>
            </w:r>
          </w:p>
          <w:p w14:paraId="57E3C73B">
            <w:pPr>
              <w:rPr>
                <w:rFonts w:ascii="华文仿宋" w:hAnsi="华文仿宋" w:eastAsia="华文仿宋"/>
                <w:color w:val="000000"/>
                <w:kern w:val="0"/>
                <w:sz w:val="24"/>
                <w:lang w:val="zh-CN"/>
              </w:rPr>
            </w:pPr>
            <w:r>
              <w:rPr>
                <w:rFonts w:hint="eastAsia" w:ascii="华文仿宋" w:hAnsi="华文仿宋" w:eastAsia="华文仿宋"/>
                <w:color w:val="000000"/>
                <w:kern w:val="0"/>
                <w:sz w:val="24"/>
                <w:lang w:val="zh-CN"/>
              </w:rPr>
              <w:t>规划引导</w:t>
            </w:r>
          </w:p>
          <w:p w14:paraId="4CCE86E9">
            <w:pPr>
              <w:rPr>
                <w:rFonts w:ascii="华文仿宋" w:hAnsi="华文仿宋" w:eastAsia="华文仿宋"/>
                <w:color w:val="000000"/>
                <w:kern w:val="0"/>
                <w:sz w:val="24"/>
                <w:lang w:val="zh-CN"/>
              </w:rPr>
            </w:pPr>
            <w:r>
              <w:rPr>
                <w:rFonts w:hint="eastAsia" w:ascii="华文仿宋" w:hAnsi="华文仿宋" w:eastAsia="华文仿宋"/>
                <w:color w:val="000000"/>
                <w:kern w:val="0"/>
                <w:sz w:val="24"/>
                <w:lang w:val="zh-CN"/>
              </w:rPr>
              <w:t>行业指导</w:t>
            </w:r>
          </w:p>
        </w:tc>
      </w:tr>
      <w:tr w14:paraId="0EFFD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2" w:type="pct"/>
          </w:tcPr>
          <w:p w14:paraId="14B9ACC6">
            <w:pPr>
              <w:rPr>
                <w:rFonts w:ascii="华文仿宋" w:hAnsi="华文仿宋" w:eastAsia="华文仿宋"/>
                <w:b w:val="0"/>
                <w:bCs w:val="0"/>
                <w:color w:val="000000"/>
                <w:kern w:val="0"/>
                <w:sz w:val="24"/>
                <w:lang w:val="zh-CN"/>
              </w:rPr>
            </w:pPr>
            <w:r>
              <w:rPr>
                <w:rFonts w:hint="eastAsia" w:ascii="华文仿宋" w:hAnsi="华文仿宋" w:eastAsia="华文仿宋"/>
                <w:b/>
                <w:bCs/>
                <w:color w:val="000000"/>
                <w:kern w:val="0"/>
                <w:sz w:val="24"/>
                <w:lang w:val="zh-CN"/>
              </w:rPr>
              <w:t>发展方式与途径适应</w:t>
            </w:r>
          </w:p>
        </w:tc>
        <w:tc>
          <w:tcPr>
            <w:tcW w:w="2412" w:type="pct"/>
          </w:tcPr>
          <w:p w14:paraId="25591EEB">
            <w:pPr>
              <w:rPr>
                <w:rFonts w:ascii="华文仿宋" w:hAnsi="华文仿宋" w:eastAsia="华文仿宋"/>
                <w:color w:val="000000"/>
                <w:kern w:val="0"/>
                <w:sz w:val="24"/>
                <w:lang w:val="zh-CN"/>
              </w:rPr>
            </w:pPr>
            <w:r>
              <w:rPr>
                <w:rFonts w:hint="eastAsia" w:ascii="华文仿宋" w:hAnsi="华文仿宋" w:eastAsia="华文仿宋"/>
                <w:color w:val="000000"/>
                <w:kern w:val="0"/>
                <w:sz w:val="24"/>
                <w:lang w:val="zh-CN"/>
              </w:rPr>
              <w:t>现代化</w:t>
            </w:r>
          </w:p>
          <w:p w14:paraId="38518813">
            <w:pPr>
              <w:rPr>
                <w:rFonts w:ascii="华文仿宋" w:hAnsi="华文仿宋" w:eastAsia="华文仿宋"/>
                <w:color w:val="000000"/>
                <w:kern w:val="0"/>
                <w:sz w:val="24"/>
                <w:lang w:val="zh-CN"/>
              </w:rPr>
            </w:pPr>
            <w:r>
              <w:rPr>
                <w:rFonts w:hint="eastAsia" w:ascii="华文仿宋" w:hAnsi="华文仿宋" w:eastAsia="华文仿宋"/>
                <w:color w:val="000000"/>
                <w:kern w:val="0"/>
                <w:sz w:val="24"/>
                <w:lang w:val="zh-CN"/>
              </w:rPr>
              <w:t>信息化与智能化</w:t>
            </w:r>
          </w:p>
          <w:p w14:paraId="7B3BB554">
            <w:pPr>
              <w:rPr>
                <w:rFonts w:ascii="华文仿宋" w:hAnsi="华文仿宋" w:eastAsia="华文仿宋"/>
                <w:color w:val="000000"/>
                <w:kern w:val="0"/>
                <w:sz w:val="24"/>
                <w:lang w:val="zh-CN"/>
              </w:rPr>
            </w:pPr>
            <w:r>
              <w:rPr>
                <w:rFonts w:hint="eastAsia" w:ascii="华文仿宋" w:hAnsi="华文仿宋" w:eastAsia="华文仿宋"/>
                <w:color w:val="000000"/>
                <w:kern w:val="0"/>
                <w:sz w:val="24"/>
                <w:lang w:val="zh-CN"/>
              </w:rPr>
              <w:t>资源节约</w:t>
            </w:r>
          </w:p>
          <w:p w14:paraId="0F019EB8">
            <w:pPr>
              <w:rPr>
                <w:rFonts w:ascii="华文仿宋" w:hAnsi="华文仿宋" w:eastAsia="华文仿宋"/>
                <w:color w:val="000000"/>
                <w:kern w:val="0"/>
                <w:sz w:val="24"/>
                <w:lang w:val="zh-CN"/>
              </w:rPr>
            </w:pPr>
            <w:r>
              <w:rPr>
                <w:rFonts w:hint="eastAsia" w:ascii="华文仿宋" w:hAnsi="华文仿宋" w:eastAsia="华文仿宋"/>
                <w:color w:val="000000"/>
                <w:kern w:val="0"/>
                <w:sz w:val="24"/>
                <w:lang w:val="zh-CN"/>
              </w:rPr>
              <w:t>环境友好</w:t>
            </w:r>
          </w:p>
        </w:tc>
        <w:tc>
          <w:tcPr>
            <w:tcW w:w="1314" w:type="pct"/>
          </w:tcPr>
          <w:p w14:paraId="7943A1AC">
            <w:pPr>
              <w:rPr>
                <w:rFonts w:ascii="华文仿宋" w:hAnsi="华文仿宋" w:eastAsia="华文仿宋"/>
                <w:color w:val="000000"/>
                <w:kern w:val="0"/>
                <w:sz w:val="24"/>
                <w:lang w:val="zh-CN"/>
              </w:rPr>
            </w:pPr>
            <w:r>
              <w:rPr>
                <w:rFonts w:hint="eastAsia" w:ascii="华文仿宋" w:hAnsi="华文仿宋" w:eastAsia="华文仿宋"/>
                <w:color w:val="000000"/>
                <w:kern w:val="0"/>
                <w:sz w:val="24"/>
                <w:lang w:val="zh-CN"/>
              </w:rPr>
              <w:t>发展理念创新</w:t>
            </w:r>
          </w:p>
          <w:p w14:paraId="70CAA02F">
            <w:pPr>
              <w:rPr>
                <w:rFonts w:ascii="华文仿宋" w:hAnsi="华文仿宋" w:eastAsia="华文仿宋"/>
                <w:color w:val="000000"/>
                <w:kern w:val="0"/>
                <w:sz w:val="24"/>
                <w:lang w:val="zh-CN"/>
              </w:rPr>
            </w:pPr>
            <w:r>
              <w:rPr>
                <w:rFonts w:hint="eastAsia" w:ascii="华文仿宋" w:hAnsi="华文仿宋" w:eastAsia="华文仿宋"/>
                <w:color w:val="000000"/>
                <w:kern w:val="0"/>
                <w:sz w:val="24"/>
                <w:lang w:val="zh-CN"/>
              </w:rPr>
              <w:t>技术进步支持</w:t>
            </w:r>
          </w:p>
        </w:tc>
      </w:tr>
      <w:tr w14:paraId="5AC92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2" w:type="pct"/>
            <w:tcBorders>
              <w:top w:val="nil"/>
              <w:bottom w:val="nil"/>
            </w:tcBorders>
          </w:tcPr>
          <w:p w14:paraId="2660D0A5">
            <w:pPr>
              <w:rPr>
                <w:rFonts w:ascii="华文仿宋" w:hAnsi="华文仿宋" w:eastAsia="华文仿宋"/>
                <w:b w:val="0"/>
                <w:bCs w:val="0"/>
                <w:color w:val="000000"/>
                <w:kern w:val="0"/>
                <w:sz w:val="24"/>
                <w:lang w:val="zh-CN"/>
              </w:rPr>
            </w:pPr>
            <w:r>
              <w:rPr>
                <w:rFonts w:hint="eastAsia" w:ascii="华文仿宋" w:hAnsi="华文仿宋" w:eastAsia="华文仿宋"/>
                <w:b/>
                <w:bCs/>
                <w:color w:val="000000"/>
                <w:kern w:val="0"/>
                <w:sz w:val="24"/>
                <w:lang w:val="zh-CN"/>
              </w:rPr>
              <w:t>模式与运行机制适应</w:t>
            </w:r>
          </w:p>
        </w:tc>
        <w:tc>
          <w:tcPr>
            <w:tcW w:w="2412" w:type="pct"/>
            <w:tcBorders>
              <w:top w:val="nil"/>
              <w:bottom w:val="nil"/>
            </w:tcBorders>
          </w:tcPr>
          <w:p w14:paraId="1993964B">
            <w:pPr>
              <w:rPr>
                <w:rFonts w:ascii="华文仿宋" w:hAnsi="华文仿宋" w:eastAsia="华文仿宋"/>
                <w:color w:val="000000"/>
                <w:kern w:val="0"/>
                <w:sz w:val="24"/>
                <w:lang w:val="zh-CN"/>
              </w:rPr>
            </w:pPr>
            <w:r>
              <w:rPr>
                <w:rFonts w:hint="eastAsia" w:ascii="华文仿宋" w:hAnsi="华文仿宋" w:eastAsia="华文仿宋"/>
                <w:color w:val="000000"/>
                <w:kern w:val="0"/>
                <w:sz w:val="24"/>
                <w:lang w:val="zh-CN"/>
              </w:rPr>
              <w:t>科学化</w:t>
            </w:r>
          </w:p>
          <w:p w14:paraId="647BF1DE">
            <w:pPr>
              <w:rPr>
                <w:rFonts w:ascii="华文仿宋" w:hAnsi="华文仿宋" w:eastAsia="华文仿宋"/>
                <w:color w:val="000000"/>
                <w:kern w:val="0"/>
                <w:sz w:val="24"/>
                <w:lang w:val="zh-CN"/>
              </w:rPr>
            </w:pPr>
            <w:r>
              <w:rPr>
                <w:rFonts w:hint="eastAsia" w:ascii="华文仿宋" w:hAnsi="华文仿宋" w:eastAsia="华文仿宋"/>
                <w:color w:val="000000"/>
                <w:kern w:val="0"/>
                <w:sz w:val="24"/>
                <w:lang w:val="zh-CN"/>
              </w:rPr>
              <w:t>规范化</w:t>
            </w:r>
          </w:p>
          <w:p w14:paraId="1EA8ABC2">
            <w:pPr>
              <w:rPr>
                <w:rFonts w:ascii="华文仿宋" w:hAnsi="华文仿宋" w:eastAsia="华文仿宋"/>
                <w:color w:val="000000"/>
                <w:kern w:val="0"/>
                <w:sz w:val="24"/>
                <w:lang w:val="zh-CN"/>
              </w:rPr>
            </w:pPr>
            <w:r>
              <w:rPr>
                <w:rFonts w:hint="eastAsia" w:ascii="华文仿宋" w:hAnsi="华文仿宋" w:eastAsia="华文仿宋"/>
                <w:color w:val="000000"/>
                <w:kern w:val="0"/>
                <w:sz w:val="24"/>
                <w:lang w:val="zh-CN"/>
              </w:rPr>
              <w:t>高效率</w:t>
            </w:r>
          </w:p>
        </w:tc>
        <w:tc>
          <w:tcPr>
            <w:tcW w:w="1314" w:type="pct"/>
            <w:tcBorders>
              <w:top w:val="nil"/>
              <w:bottom w:val="nil"/>
            </w:tcBorders>
          </w:tcPr>
          <w:p w14:paraId="732B8D8C">
            <w:pPr>
              <w:rPr>
                <w:rFonts w:ascii="华文仿宋" w:hAnsi="华文仿宋" w:eastAsia="华文仿宋"/>
                <w:color w:val="000000"/>
                <w:kern w:val="0"/>
                <w:sz w:val="24"/>
                <w:lang w:val="zh-CN"/>
              </w:rPr>
            </w:pPr>
            <w:r>
              <w:rPr>
                <w:rFonts w:hint="eastAsia" w:ascii="华文仿宋" w:hAnsi="华文仿宋" w:eastAsia="华文仿宋"/>
                <w:color w:val="000000"/>
                <w:kern w:val="0"/>
                <w:sz w:val="24"/>
                <w:lang w:val="zh-CN"/>
              </w:rPr>
              <w:t>制度创新</w:t>
            </w:r>
          </w:p>
          <w:p w14:paraId="61F07F61">
            <w:pPr>
              <w:rPr>
                <w:rFonts w:ascii="华文仿宋" w:hAnsi="华文仿宋" w:eastAsia="华文仿宋"/>
                <w:color w:val="000000"/>
                <w:kern w:val="0"/>
                <w:sz w:val="24"/>
                <w:lang w:val="zh-CN"/>
              </w:rPr>
            </w:pPr>
            <w:r>
              <w:rPr>
                <w:rFonts w:hint="eastAsia" w:ascii="华文仿宋" w:hAnsi="华文仿宋" w:eastAsia="华文仿宋"/>
                <w:color w:val="000000"/>
                <w:kern w:val="0"/>
                <w:sz w:val="24"/>
                <w:lang w:val="zh-CN"/>
              </w:rPr>
              <w:t>管理创新</w:t>
            </w:r>
          </w:p>
        </w:tc>
      </w:tr>
      <w:tr w14:paraId="0EA11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2" w:type="pct"/>
            <w:tcBorders>
              <w:bottom w:val="single" w:color="auto" w:sz="12" w:space="0"/>
            </w:tcBorders>
          </w:tcPr>
          <w:p w14:paraId="41045236">
            <w:pPr>
              <w:rPr>
                <w:rFonts w:ascii="华文仿宋" w:hAnsi="华文仿宋" w:eastAsia="华文仿宋"/>
                <w:b w:val="0"/>
                <w:bCs w:val="0"/>
                <w:color w:val="000000"/>
                <w:kern w:val="0"/>
                <w:sz w:val="24"/>
                <w:lang w:val="zh-CN"/>
              </w:rPr>
            </w:pPr>
            <w:r>
              <w:rPr>
                <w:rFonts w:hint="eastAsia" w:ascii="华文仿宋" w:hAnsi="华文仿宋" w:eastAsia="华文仿宋"/>
                <w:b/>
                <w:bCs/>
                <w:color w:val="000000"/>
                <w:kern w:val="0"/>
                <w:sz w:val="24"/>
                <w:lang w:val="zh-CN"/>
              </w:rPr>
              <w:t>效果适应</w:t>
            </w:r>
          </w:p>
        </w:tc>
        <w:tc>
          <w:tcPr>
            <w:tcW w:w="2412" w:type="pct"/>
            <w:tcBorders>
              <w:bottom w:val="single" w:color="auto" w:sz="12" w:space="0"/>
            </w:tcBorders>
          </w:tcPr>
          <w:p w14:paraId="6619B699">
            <w:pPr>
              <w:rPr>
                <w:rFonts w:ascii="华文仿宋" w:hAnsi="华文仿宋" w:eastAsia="华文仿宋"/>
                <w:color w:val="000000"/>
                <w:kern w:val="0"/>
                <w:sz w:val="24"/>
                <w:lang w:val="zh-CN"/>
              </w:rPr>
            </w:pPr>
            <w:r>
              <w:rPr>
                <w:rFonts w:hint="eastAsia" w:ascii="华文仿宋" w:hAnsi="华文仿宋" w:eastAsia="华文仿宋"/>
                <w:color w:val="000000"/>
                <w:kern w:val="0"/>
                <w:sz w:val="24"/>
                <w:lang w:val="zh-CN"/>
              </w:rPr>
              <w:t>能力充分</w:t>
            </w:r>
          </w:p>
          <w:p w14:paraId="1BD67DE8">
            <w:pPr>
              <w:rPr>
                <w:rFonts w:ascii="华文仿宋" w:hAnsi="华文仿宋" w:eastAsia="华文仿宋"/>
                <w:color w:val="000000"/>
                <w:kern w:val="0"/>
                <w:sz w:val="24"/>
                <w:lang w:val="zh-CN"/>
              </w:rPr>
            </w:pPr>
            <w:r>
              <w:rPr>
                <w:rFonts w:hint="eastAsia" w:ascii="华文仿宋" w:hAnsi="华文仿宋" w:eastAsia="华文仿宋"/>
                <w:color w:val="000000"/>
                <w:kern w:val="0"/>
                <w:sz w:val="24"/>
                <w:lang w:val="zh-CN"/>
              </w:rPr>
              <w:t>便捷高效</w:t>
            </w:r>
          </w:p>
          <w:p w14:paraId="325F6847">
            <w:pPr>
              <w:rPr>
                <w:rFonts w:ascii="华文仿宋" w:hAnsi="华文仿宋" w:eastAsia="华文仿宋"/>
                <w:color w:val="000000"/>
                <w:kern w:val="0"/>
                <w:sz w:val="24"/>
                <w:lang w:val="zh-CN"/>
              </w:rPr>
            </w:pPr>
            <w:r>
              <w:rPr>
                <w:rFonts w:hint="eastAsia" w:ascii="华文仿宋" w:hAnsi="华文仿宋" w:eastAsia="华文仿宋"/>
                <w:color w:val="000000"/>
                <w:kern w:val="0"/>
                <w:sz w:val="24"/>
                <w:lang w:val="zh-CN"/>
              </w:rPr>
              <w:t>安全可靠</w:t>
            </w:r>
          </w:p>
          <w:p w14:paraId="2A3DC0F8">
            <w:pPr>
              <w:rPr>
                <w:rFonts w:ascii="华文仿宋" w:hAnsi="华文仿宋" w:eastAsia="华文仿宋"/>
                <w:color w:val="000000"/>
                <w:kern w:val="0"/>
                <w:sz w:val="24"/>
                <w:lang w:val="zh-CN"/>
              </w:rPr>
            </w:pPr>
            <w:r>
              <w:rPr>
                <w:rFonts w:hint="eastAsia" w:ascii="华文仿宋" w:hAnsi="华文仿宋" w:eastAsia="华文仿宋"/>
                <w:color w:val="000000"/>
                <w:kern w:val="0"/>
                <w:sz w:val="24"/>
                <w:lang w:val="zh-CN"/>
              </w:rPr>
              <w:t>具备可持续发展能力</w:t>
            </w:r>
          </w:p>
        </w:tc>
        <w:tc>
          <w:tcPr>
            <w:tcW w:w="1314" w:type="pct"/>
            <w:tcBorders>
              <w:bottom w:val="single" w:color="auto" w:sz="12" w:space="0"/>
            </w:tcBorders>
          </w:tcPr>
          <w:p w14:paraId="3EA88D30">
            <w:pPr>
              <w:rPr>
                <w:rFonts w:ascii="华文仿宋" w:hAnsi="华文仿宋" w:eastAsia="华文仿宋"/>
                <w:color w:val="000000"/>
                <w:kern w:val="0"/>
                <w:sz w:val="24"/>
                <w:lang w:val="zh-CN"/>
              </w:rPr>
            </w:pPr>
            <w:r>
              <w:rPr>
                <w:rFonts w:hint="eastAsia" w:ascii="华文仿宋" w:hAnsi="华文仿宋" w:eastAsia="华文仿宋"/>
                <w:color w:val="000000"/>
                <w:kern w:val="0"/>
                <w:sz w:val="24"/>
                <w:lang w:val="zh-CN"/>
              </w:rPr>
              <w:t>科学管理</w:t>
            </w:r>
          </w:p>
          <w:p w14:paraId="26494BBC">
            <w:pPr>
              <w:rPr>
                <w:rFonts w:ascii="华文仿宋" w:hAnsi="华文仿宋" w:eastAsia="华文仿宋"/>
                <w:color w:val="000000"/>
                <w:kern w:val="0"/>
                <w:sz w:val="24"/>
                <w:lang w:val="zh-CN"/>
              </w:rPr>
            </w:pPr>
            <w:r>
              <w:rPr>
                <w:rFonts w:hint="eastAsia" w:ascii="华文仿宋" w:hAnsi="华文仿宋" w:eastAsia="华文仿宋"/>
                <w:color w:val="000000"/>
                <w:kern w:val="0"/>
                <w:sz w:val="24"/>
                <w:lang w:val="zh-CN"/>
              </w:rPr>
              <w:t>系统优化</w:t>
            </w:r>
          </w:p>
          <w:p w14:paraId="25DC4259">
            <w:pPr>
              <w:rPr>
                <w:rFonts w:ascii="华文仿宋" w:hAnsi="华文仿宋" w:eastAsia="华文仿宋"/>
                <w:color w:val="000000"/>
                <w:kern w:val="0"/>
                <w:sz w:val="24"/>
                <w:lang w:val="zh-CN"/>
              </w:rPr>
            </w:pPr>
            <w:r>
              <w:rPr>
                <w:rFonts w:hint="eastAsia" w:ascii="华文仿宋" w:hAnsi="华文仿宋" w:eastAsia="华文仿宋"/>
                <w:color w:val="000000"/>
                <w:kern w:val="0"/>
                <w:sz w:val="24"/>
                <w:lang w:val="zh-CN"/>
              </w:rPr>
              <w:t>动态控制</w:t>
            </w:r>
          </w:p>
        </w:tc>
      </w:tr>
    </w:tbl>
    <w:p w14:paraId="59A82A60">
      <w:pPr>
        <w:spacing w:line="360" w:lineRule="auto"/>
        <w:ind w:firstLine="480"/>
        <w:jc w:val="center"/>
        <w:rPr>
          <w:rFonts w:ascii="华文仿宋" w:hAnsi="华文仿宋" w:eastAsia="华文仿宋"/>
          <w:color w:val="000000"/>
          <w:sz w:val="28"/>
          <w:szCs w:val="28"/>
          <w:lang w:val="zh-CN"/>
        </w:rPr>
      </w:pPr>
      <w:r>
        <w:rPr>
          <w:rFonts w:hint="eastAsia" w:ascii="华文仿宋" w:hAnsi="华文仿宋" w:eastAsia="华文仿宋"/>
          <w:color w:val="000000"/>
          <w:sz w:val="28"/>
          <w:szCs w:val="28"/>
          <w:lang w:val="zh-CN"/>
        </w:rPr>
        <w:t>图2-1 交通系统经济适应性层次分解</w:t>
      </w:r>
    </w:p>
    <w:p w14:paraId="6D2C48EB">
      <w:pPr>
        <w:spacing w:line="360" w:lineRule="auto"/>
        <w:ind w:firstLine="480"/>
        <w:rPr>
          <w:rFonts w:ascii="华文仿宋" w:hAnsi="华文仿宋" w:eastAsia="华文仿宋"/>
          <w:color w:val="000000"/>
          <w:sz w:val="28"/>
          <w:szCs w:val="28"/>
          <w:lang w:val="zh-CN"/>
        </w:rPr>
      </w:pPr>
      <w:r>
        <w:rPr>
          <w:rFonts w:hint="eastAsia" w:ascii="华文仿宋" w:hAnsi="华文仿宋" w:eastAsia="华文仿宋"/>
          <w:color w:val="000000"/>
          <w:sz w:val="28"/>
          <w:szCs w:val="28"/>
          <w:lang w:val="zh-CN"/>
        </w:rPr>
        <w:t>因此，交通系统的经济适应性发展就是在多重目标情况下动态优化的过程。交通经济一体化协同发展目标包括：</w:t>
      </w:r>
    </w:p>
    <w:p w14:paraId="2305680A">
      <w:pPr>
        <w:spacing w:line="360" w:lineRule="auto"/>
        <w:ind w:firstLine="480"/>
        <w:rPr>
          <w:rFonts w:ascii="华文仿宋" w:hAnsi="华文仿宋" w:eastAsia="华文仿宋"/>
          <w:color w:val="000000"/>
          <w:sz w:val="28"/>
          <w:szCs w:val="28"/>
          <w:lang w:val="zh-CN"/>
        </w:rPr>
      </w:pPr>
      <w:r>
        <w:rPr>
          <w:rFonts w:ascii="华文仿宋" w:hAnsi="华文仿宋" w:eastAsia="华文仿宋"/>
          <w:color w:val="000000"/>
          <w:sz w:val="28"/>
          <w:szCs w:val="28"/>
          <w:lang w:val="zh-CN"/>
        </w:rPr>
        <w:t>1</w:t>
      </w:r>
      <w:r>
        <w:rPr>
          <w:rFonts w:hint="eastAsia" w:ascii="华文仿宋" w:hAnsi="华文仿宋" w:eastAsia="华文仿宋"/>
          <w:color w:val="000000"/>
          <w:sz w:val="28"/>
          <w:szCs w:val="28"/>
          <w:lang w:val="zh-CN"/>
        </w:rPr>
        <w:t>、总量规模适应：总量规模适应性是反映交通系统能力及规模的指标，即交通系统提供的运输服务供给总量要与经济社会对交通的需求总量相适应。适度超前的适应性目标可以更好的拉动突泉县经济发展速度。</w:t>
      </w:r>
    </w:p>
    <w:p w14:paraId="564FA794">
      <w:pPr>
        <w:spacing w:line="360" w:lineRule="auto"/>
        <w:ind w:firstLine="480"/>
        <w:rPr>
          <w:rFonts w:ascii="华文仿宋" w:hAnsi="华文仿宋" w:eastAsia="华文仿宋"/>
          <w:color w:val="000000"/>
          <w:sz w:val="28"/>
          <w:szCs w:val="28"/>
          <w:lang w:val="zh-CN"/>
        </w:rPr>
      </w:pPr>
      <w:r>
        <w:rPr>
          <w:rFonts w:ascii="华文仿宋" w:hAnsi="华文仿宋" w:eastAsia="华文仿宋"/>
          <w:color w:val="000000"/>
          <w:sz w:val="28"/>
          <w:szCs w:val="28"/>
          <w:lang w:val="zh-CN"/>
        </w:rPr>
        <w:t>2</w:t>
      </w:r>
      <w:r>
        <w:rPr>
          <w:rFonts w:hint="eastAsia" w:ascii="华文仿宋" w:hAnsi="华文仿宋" w:eastAsia="华文仿宋"/>
          <w:color w:val="000000"/>
          <w:sz w:val="28"/>
          <w:szCs w:val="28"/>
          <w:lang w:val="zh-CN"/>
        </w:rPr>
        <w:t>、结构合理，布局优化：规划布局适应性是反映交通系统的规划及布局是否合理的坐标系，即交通规划制定过程中，发展目标、发展战略要服从并服务于经济社会系统发展的宏观目标，与其适应;</w:t>
      </w:r>
      <w:r>
        <w:rPr>
          <w:rFonts w:ascii="华文仿宋" w:hAnsi="华文仿宋" w:eastAsia="华文仿宋"/>
          <w:color w:val="000000"/>
          <w:sz w:val="28"/>
          <w:szCs w:val="28"/>
          <w:lang w:val="zh-CN"/>
        </w:rPr>
        <w:t xml:space="preserve"> </w:t>
      </w:r>
      <w:r>
        <w:rPr>
          <w:rFonts w:hint="eastAsia" w:ascii="华文仿宋" w:hAnsi="华文仿宋" w:eastAsia="华文仿宋"/>
          <w:color w:val="000000"/>
          <w:sz w:val="28"/>
          <w:szCs w:val="28"/>
          <w:lang w:val="zh-CN"/>
        </w:rPr>
        <w:t>交通基础设施的规划布局要服务于国家和区域经济发展的全局，与国家或区域的经济布局和空间规划相适应。运输结构适应性是反映交通运输方式结构状态的坐标系，从国民经济效益及均衡角度分析各种运输方式的配置及衔接是否能够满足潜在的交通需求，包括方式结构、需求层次结构、区际、城际、城乡结构等。通达度、覆盖率高是结构合理布局优化的重要评价指标。</w:t>
      </w:r>
    </w:p>
    <w:p w14:paraId="22014BC8">
      <w:pPr>
        <w:spacing w:line="360" w:lineRule="auto"/>
        <w:ind w:firstLine="480"/>
        <w:rPr>
          <w:rFonts w:ascii="华文仿宋" w:hAnsi="华文仿宋" w:eastAsia="华文仿宋"/>
          <w:color w:val="000000"/>
          <w:sz w:val="28"/>
          <w:szCs w:val="28"/>
          <w:lang w:val="zh-CN"/>
        </w:rPr>
      </w:pPr>
      <w:r>
        <w:rPr>
          <w:rFonts w:hint="eastAsia" w:ascii="华文仿宋" w:hAnsi="华文仿宋" w:eastAsia="华文仿宋"/>
          <w:color w:val="000000"/>
          <w:sz w:val="28"/>
          <w:szCs w:val="28"/>
          <w:lang w:val="zh-CN"/>
        </w:rPr>
        <w:t>3、服务水平：服务水平适应性是指交通系统的运行机制、组织方式、管理模式与社会经济发展的要求相适应，这两者相互协调、相互促进的基本保证;交通系统的服务水平与保障能力，应与经济发展的要求相适应，并能够建立相互促进的良性发展机制，并且达到快速、高效、优质、安全性、客运零换乘、货运无缝化等高标准和高要求。</w:t>
      </w:r>
    </w:p>
    <w:p w14:paraId="084AA667">
      <w:pPr>
        <w:spacing w:line="360" w:lineRule="auto"/>
        <w:ind w:firstLine="480"/>
        <w:rPr>
          <w:rFonts w:ascii="华文仿宋" w:hAnsi="华文仿宋" w:eastAsia="华文仿宋"/>
          <w:color w:val="000000"/>
          <w:sz w:val="28"/>
          <w:szCs w:val="28"/>
          <w:lang w:val="zh-CN"/>
        </w:rPr>
      </w:pPr>
      <w:r>
        <w:rPr>
          <w:rFonts w:hint="eastAsia" w:ascii="华文仿宋" w:hAnsi="华文仿宋" w:eastAsia="华文仿宋"/>
          <w:color w:val="000000"/>
          <w:sz w:val="28"/>
          <w:szCs w:val="28"/>
          <w:lang w:val="zh-CN"/>
        </w:rPr>
        <w:t>因此，本文主要从总量规模、运输结构、服务水平三个方面构建突泉县交通系统的经济适应性评价指标体系，具体内容见表</w:t>
      </w:r>
      <w:r>
        <w:rPr>
          <w:rFonts w:ascii="华文仿宋" w:hAnsi="华文仿宋" w:eastAsia="华文仿宋"/>
          <w:color w:val="000000"/>
          <w:sz w:val="28"/>
          <w:szCs w:val="28"/>
          <w:lang w:val="zh-CN"/>
        </w:rPr>
        <w:t>2-2</w:t>
      </w:r>
      <w:r>
        <w:rPr>
          <w:rFonts w:hint="eastAsia" w:ascii="华文仿宋" w:hAnsi="华文仿宋" w:eastAsia="华文仿宋"/>
          <w:color w:val="000000"/>
          <w:sz w:val="28"/>
          <w:szCs w:val="28"/>
          <w:lang w:val="zh-CN"/>
        </w:rPr>
        <w:t>。</w:t>
      </w:r>
    </w:p>
    <w:p w14:paraId="45FB3E7D">
      <w:pPr>
        <w:spacing w:line="360" w:lineRule="auto"/>
        <w:ind w:firstLine="440"/>
        <w:jc w:val="center"/>
        <w:rPr>
          <w:rFonts w:ascii="华文仿宋" w:hAnsi="华文仿宋" w:eastAsia="华文仿宋"/>
          <w:b/>
          <w:bCs/>
          <w:color w:val="000000"/>
          <w:sz w:val="28"/>
          <w:szCs w:val="28"/>
          <w:lang w:val="zh-CN"/>
        </w:rPr>
      </w:pPr>
      <w:r>
        <w:rPr>
          <w:rFonts w:hint="eastAsia" w:ascii="华文仿宋" w:hAnsi="华文仿宋" w:eastAsia="华文仿宋" w:cs="宋体"/>
          <w:b/>
          <w:bCs/>
          <w:color w:val="000000"/>
          <w:sz w:val="28"/>
          <w:szCs w:val="28"/>
          <w:lang w:val="zh-CN"/>
        </w:rPr>
        <w:t>表</w:t>
      </w:r>
      <w:r>
        <w:rPr>
          <w:rFonts w:hint="eastAsia" w:ascii="华文仿宋" w:hAnsi="华文仿宋" w:eastAsia="华文仿宋"/>
          <w:b/>
          <w:bCs/>
          <w:color w:val="000000"/>
          <w:sz w:val="28"/>
          <w:szCs w:val="28"/>
          <w:lang w:val="zh-CN"/>
        </w:rPr>
        <w:t>2-1</w:t>
      </w:r>
      <w:r>
        <w:rPr>
          <w:rFonts w:hint="eastAsia" w:ascii="华文仿宋" w:hAnsi="华文仿宋" w:eastAsia="华文仿宋"/>
          <w:b/>
          <w:bCs/>
          <w:color w:val="000000"/>
          <w:sz w:val="28"/>
          <w:szCs w:val="28"/>
        </w:rPr>
        <w:t xml:space="preserve"> </w:t>
      </w:r>
      <w:r>
        <w:rPr>
          <w:rFonts w:ascii="华文仿宋" w:hAnsi="华文仿宋" w:eastAsia="华文仿宋"/>
          <w:b/>
          <w:bCs/>
          <w:color w:val="000000"/>
          <w:sz w:val="28"/>
          <w:szCs w:val="28"/>
          <w:lang w:val="zh-CN"/>
        </w:rPr>
        <w:t>区域交通系统经济适应性评价指标体系</w:t>
      </w:r>
    </w:p>
    <w:tbl>
      <w:tblPr>
        <w:tblStyle w:val="16"/>
        <w:tblW w:w="90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1380"/>
        <w:gridCol w:w="2753"/>
        <w:gridCol w:w="3982"/>
      </w:tblGrid>
      <w:tr w14:paraId="5087C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70" w:type="dxa"/>
            <w:tcBorders>
              <w:bottom w:val="single" w:color="7E7E7E" w:themeColor="text1" w:themeTint="80" w:sz="4" w:space="0"/>
              <w:insideH w:val="single" w:sz="4" w:space="0"/>
            </w:tcBorders>
            <w:noWrap/>
          </w:tcPr>
          <w:p w14:paraId="30FB7D0F">
            <w:pPr>
              <w:widowControl/>
              <w:jc w:val="center"/>
              <w:rPr>
                <w:rFonts w:ascii="华文仿宋" w:hAnsi="华文仿宋" w:eastAsia="华文仿宋" w:cs="宋体"/>
                <w:b w:val="0"/>
                <w:bCs w:val="0"/>
                <w:color w:val="000000"/>
                <w:kern w:val="0"/>
                <w:sz w:val="24"/>
              </w:rPr>
            </w:pPr>
            <w:r>
              <w:rPr>
                <w:rFonts w:hint="eastAsia" w:ascii="华文仿宋" w:hAnsi="华文仿宋" w:eastAsia="华文仿宋"/>
                <w:b/>
                <w:bCs/>
                <w:color w:val="000000"/>
                <w:kern w:val="0"/>
                <w:sz w:val="24"/>
              </w:rPr>
              <w:t>目标层</w:t>
            </w:r>
          </w:p>
        </w:tc>
        <w:tc>
          <w:tcPr>
            <w:tcW w:w="1380" w:type="dxa"/>
            <w:tcBorders>
              <w:bottom w:val="single" w:color="7E7E7E" w:themeColor="text1" w:themeTint="80" w:sz="4" w:space="0"/>
              <w:insideH w:val="single" w:sz="4" w:space="0"/>
            </w:tcBorders>
            <w:noWrap/>
          </w:tcPr>
          <w:p w14:paraId="04D5F58B">
            <w:pPr>
              <w:jc w:val="center"/>
              <w:rPr>
                <w:rFonts w:ascii="华文仿宋" w:hAnsi="华文仿宋" w:eastAsia="华文仿宋"/>
                <w:b w:val="0"/>
                <w:bCs w:val="0"/>
                <w:color w:val="000000"/>
                <w:kern w:val="0"/>
                <w:sz w:val="24"/>
              </w:rPr>
            </w:pPr>
            <w:r>
              <w:rPr>
                <w:rFonts w:hint="eastAsia" w:ascii="华文仿宋" w:hAnsi="华文仿宋" w:eastAsia="华文仿宋"/>
                <w:b/>
                <w:bCs/>
                <w:color w:val="000000"/>
                <w:kern w:val="0"/>
                <w:sz w:val="24"/>
              </w:rPr>
              <w:t>准则层</w:t>
            </w:r>
          </w:p>
        </w:tc>
        <w:tc>
          <w:tcPr>
            <w:tcW w:w="2753" w:type="dxa"/>
            <w:tcBorders>
              <w:bottom w:val="single" w:color="7E7E7E" w:themeColor="text1" w:themeTint="80" w:sz="4" w:space="0"/>
              <w:insideH w:val="single" w:sz="4" w:space="0"/>
            </w:tcBorders>
          </w:tcPr>
          <w:p w14:paraId="3AA533DA">
            <w:pPr>
              <w:jc w:val="center"/>
              <w:rPr>
                <w:rFonts w:ascii="华文仿宋" w:hAnsi="华文仿宋" w:eastAsia="华文仿宋"/>
                <w:b w:val="0"/>
                <w:bCs w:val="0"/>
                <w:color w:val="000000"/>
                <w:kern w:val="0"/>
                <w:sz w:val="24"/>
              </w:rPr>
            </w:pPr>
            <w:r>
              <w:rPr>
                <w:rFonts w:hint="eastAsia" w:ascii="华文仿宋" w:hAnsi="华文仿宋" w:eastAsia="华文仿宋"/>
                <w:b/>
                <w:bCs/>
                <w:color w:val="000000"/>
                <w:kern w:val="0"/>
                <w:sz w:val="24"/>
              </w:rPr>
              <w:t>状态层</w:t>
            </w:r>
          </w:p>
        </w:tc>
        <w:tc>
          <w:tcPr>
            <w:tcW w:w="3982" w:type="dxa"/>
            <w:tcBorders>
              <w:bottom w:val="single" w:color="7E7E7E" w:themeColor="text1" w:themeTint="80" w:sz="4" w:space="0"/>
              <w:insideH w:val="single" w:sz="4" w:space="0"/>
            </w:tcBorders>
            <w:noWrap/>
          </w:tcPr>
          <w:p w14:paraId="18871DAC">
            <w:pPr>
              <w:jc w:val="center"/>
              <w:rPr>
                <w:rFonts w:ascii="华文仿宋" w:hAnsi="华文仿宋" w:eastAsia="华文仿宋"/>
                <w:b w:val="0"/>
                <w:bCs w:val="0"/>
                <w:color w:val="000000"/>
                <w:kern w:val="0"/>
                <w:sz w:val="24"/>
              </w:rPr>
            </w:pPr>
            <w:r>
              <w:rPr>
                <w:rFonts w:hint="eastAsia" w:ascii="华文仿宋" w:hAnsi="华文仿宋" w:eastAsia="华文仿宋"/>
                <w:b/>
                <w:bCs/>
                <w:color w:val="000000"/>
                <w:kern w:val="0"/>
                <w:sz w:val="24"/>
              </w:rPr>
              <w:t>指标层</w:t>
            </w:r>
          </w:p>
        </w:tc>
      </w:tr>
      <w:tr w14:paraId="18F2F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70" w:type="dxa"/>
            <w:vMerge w:val="restart"/>
          </w:tcPr>
          <w:p w14:paraId="249BB739">
            <w:pPr>
              <w:jc w:val="center"/>
              <w:rPr>
                <w:rFonts w:ascii="华文仿宋" w:hAnsi="华文仿宋" w:eastAsia="华文仿宋"/>
                <w:b w:val="0"/>
                <w:bCs w:val="0"/>
                <w:color w:val="000000"/>
                <w:kern w:val="0"/>
                <w:sz w:val="24"/>
              </w:rPr>
            </w:pPr>
            <w:r>
              <w:rPr>
                <w:rFonts w:hint="eastAsia" w:ascii="华文仿宋" w:hAnsi="华文仿宋" w:eastAsia="华文仿宋"/>
                <w:b/>
                <w:bCs/>
                <w:color w:val="000000"/>
                <w:kern w:val="0"/>
                <w:sz w:val="24"/>
              </w:rPr>
              <w:t>区域</w:t>
            </w:r>
          </w:p>
          <w:p w14:paraId="7C831C83">
            <w:pPr>
              <w:jc w:val="center"/>
              <w:rPr>
                <w:rFonts w:ascii="华文仿宋" w:hAnsi="华文仿宋" w:eastAsia="华文仿宋"/>
                <w:b w:val="0"/>
                <w:bCs w:val="0"/>
                <w:color w:val="000000"/>
                <w:kern w:val="0"/>
                <w:sz w:val="24"/>
              </w:rPr>
            </w:pPr>
            <w:r>
              <w:rPr>
                <w:rFonts w:hint="eastAsia" w:ascii="华文仿宋" w:hAnsi="华文仿宋" w:eastAsia="华文仿宋"/>
                <w:b/>
                <w:bCs/>
                <w:color w:val="000000"/>
                <w:kern w:val="0"/>
                <w:sz w:val="24"/>
              </w:rPr>
              <w:t>交通系统经济适应性</w:t>
            </w:r>
          </w:p>
          <w:p w14:paraId="2BE87C09">
            <w:pPr>
              <w:jc w:val="center"/>
              <w:rPr>
                <w:rFonts w:ascii="华文仿宋" w:hAnsi="华文仿宋" w:eastAsia="华文仿宋"/>
                <w:b w:val="0"/>
                <w:bCs w:val="0"/>
                <w:color w:val="000000"/>
                <w:kern w:val="0"/>
                <w:sz w:val="24"/>
              </w:rPr>
            </w:pPr>
            <w:r>
              <w:rPr>
                <w:rFonts w:hint="eastAsia" w:ascii="华文仿宋" w:hAnsi="华文仿宋" w:eastAsia="华文仿宋"/>
                <w:b/>
                <w:bCs/>
                <w:color w:val="000000"/>
                <w:kern w:val="0"/>
                <w:sz w:val="24"/>
              </w:rPr>
              <w:t>评价</w:t>
            </w:r>
          </w:p>
        </w:tc>
        <w:tc>
          <w:tcPr>
            <w:tcW w:w="1380" w:type="dxa"/>
            <w:vMerge w:val="restart"/>
            <w:noWrap/>
          </w:tcPr>
          <w:p w14:paraId="1D1C6D68">
            <w:pPr>
              <w:jc w:val="center"/>
              <w:rPr>
                <w:rFonts w:ascii="华文仿宋" w:hAnsi="华文仿宋" w:eastAsia="华文仿宋"/>
                <w:color w:val="000000"/>
                <w:kern w:val="0"/>
                <w:sz w:val="24"/>
              </w:rPr>
            </w:pPr>
            <w:r>
              <w:rPr>
                <w:rFonts w:hint="eastAsia" w:ascii="华文仿宋" w:hAnsi="华文仿宋" w:eastAsia="华文仿宋"/>
                <w:color w:val="000000"/>
                <w:kern w:val="0"/>
                <w:sz w:val="24"/>
              </w:rPr>
              <w:t>总量规模</w:t>
            </w:r>
          </w:p>
        </w:tc>
        <w:tc>
          <w:tcPr>
            <w:tcW w:w="2753" w:type="dxa"/>
            <w:vMerge w:val="restart"/>
          </w:tcPr>
          <w:p w14:paraId="0F10D090">
            <w:pPr>
              <w:jc w:val="center"/>
              <w:rPr>
                <w:rFonts w:ascii="华文仿宋" w:hAnsi="华文仿宋" w:eastAsia="华文仿宋"/>
                <w:color w:val="000000"/>
                <w:kern w:val="0"/>
                <w:sz w:val="24"/>
              </w:rPr>
            </w:pPr>
            <w:r>
              <w:rPr>
                <w:rFonts w:hint="eastAsia" w:ascii="华文仿宋" w:hAnsi="华文仿宋" w:eastAsia="华文仿宋"/>
                <w:color w:val="000000"/>
                <w:kern w:val="0"/>
                <w:sz w:val="24"/>
              </w:rPr>
              <w:t>设施与投资规模适应性</w:t>
            </w:r>
          </w:p>
        </w:tc>
        <w:tc>
          <w:tcPr>
            <w:tcW w:w="3982" w:type="dxa"/>
            <w:noWrap/>
          </w:tcPr>
          <w:p w14:paraId="640C14F3">
            <w:pPr>
              <w:jc w:val="center"/>
              <w:rPr>
                <w:rFonts w:ascii="华文仿宋" w:hAnsi="华文仿宋" w:eastAsia="华文仿宋"/>
                <w:color w:val="000000"/>
                <w:kern w:val="0"/>
                <w:sz w:val="24"/>
              </w:rPr>
            </w:pPr>
            <w:r>
              <w:rPr>
                <w:rFonts w:hint="eastAsia" w:ascii="华文仿宋" w:hAnsi="华文仿宋" w:eastAsia="华文仿宋"/>
                <w:color w:val="000000"/>
                <w:kern w:val="0"/>
                <w:sz w:val="24"/>
              </w:rPr>
              <w:t>交通运网综合密度</w:t>
            </w:r>
          </w:p>
        </w:tc>
      </w:tr>
      <w:tr w14:paraId="03C99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70" w:type="dxa"/>
            <w:vMerge w:val="continue"/>
          </w:tcPr>
          <w:p w14:paraId="443234D1">
            <w:pPr>
              <w:jc w:val="center"/>
              <w:rPr>
                <w:rFonts w:ascii="华文仿宋" w:hAnsi="华文仿宋" w:eastAsia="华文仿宋" w:cs="宋体"/>
                <w:b w:val="0"/>
                <w:bCs w:val="0"/>
                <w:color w:val="000000"/>
                <w:kern w:val="0"/>
                <w:sz w:val="24"/>
              </w:rPr>
            </w:pPr>
          </w:p>
        </w:tc>
        <w:tc>
          <w:tcPr>
            <w:tcW w:w="1380" w:type="dxa"/>
            <w:vMerge w:val="continue"/>
            <w:noWrap/>
          </w:tcPr>
          <w:p w14:paraId="1F17B151">
            <w:pPr>
              <w:jc w:val="center"/>
              <w:rPr>
                <w:rFonts w:ascii="华文仿宋" w:hAnsi="华文仿宋" w:eastAsia="华文仿宋" w:cs="宋体"/>
                <w:color w:val="000000"/>
                <w:kern w:val="0"/>
                <w:sz w:val="24"/>
              </w:rPr>
            </w:pPr>
          </w:p>
        </w:tc>
        <w:tc>
          <w:tcPr>
            <w:tcW w:w="2753" w:type="dxa"/>
            <w:vMerge w:val="continue"/>
          </w:tcPr>
          <w:p w14:paraId="007646EE">
            <w:pPr>
              <w:jc w:val="center"/>
              <w:rPr>
                <w:rFonts w:ascii="华文仿宋" w:hAnsi="华文仿宋" w:eastAsia="华文仿宋" w:cs="宋体"/>
                <w:color w:val="000000"/>
                <w:kern w:val="0"/>
                <w:sz w:val="24"/>
              </w:rPr>
            </w:pPr>
          </w:p>
        </w:tc>
        <w:tc>
          <w:tcPr>
            <w:tcW w:w="3982" w:type="dxa"/>
            <w:noWrap/>
          </w:tcPr>
          <w:p w14:paraId="16D38BE7">
            <w:pPr>
              <w:widowControl/>
              <w:jc w:val="center"/>
              <w:textAlignment w:val="center"/>
              <w:rPr>
                <w:rFonts w:ascii="华文仿宋" w:hAnsi="华文仿宋" w:eastAsia="华文仿宋" w:cs="宋体"/>
                <w:color w:val="000000"/>
                <w:kern w:val="0"/>
                <w:sz w:val="24"/>
              </w:rPr>
            </w:pPr>
            <w:r>
              <w:rPr>
                <w:rFonts w:hint="eastAsia" w:ascii="华文仿宋" w:hAnsi="华文仿宋" w:eastAsia="华文仿宋"/>
                <w:color w:val="000000"/>
                <w:kern w:val="0"/>
                <w:sz w:val="24"/>
              </w:rPr>
              <w:t>运网等级水平指数</w:t>
            </w:r>
          </w:p>
        </w:tc>
      </w:tr>
      <w:tr w14:paraId="6F287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70" w:type="dxa"/>
            <w:vMerge w:val="continue"/>
          </w:tcPr>
          <w:p w14:paraId="5E40FB20">
            <w:pPr>
              <w:jc w:val="center"/>
              <w:rPr>
                <w:rFonts w:ascii="华文仿宋" w:hAnsi="华文仿宋" w:eastAsia="华文仿宋" w:cs="宋体"/>
                <w:b w:val="0"/>
                <w:bCs w:val="0"/>
                <w:color w:val="000000"/>
                <w:kern w:val="0"/>
                <w:sz w:val="24"/>
              </w:rPr>
            </w:pPr>
          </w:p>
        </w:tc>
        <w:tc>
          <w:tcPr>
            <w:tcW w:w="1380" w:type="dxa"/>
            <w:vMerge w:val="continue"/>
            <w:noWrap/>
          </w:tcPr>
          <w:p w14:paraId="2208F04C">
            <w:pPr>
              <w:jc w:val="center"/>
              <w:rPr>
                <w:rFonts w:ascii="华文仿宋" w:hAnsi="华文仿宋" w:eastAsia="华文仿宋" w:cs="宋体"/>
                <w:color w:val="000000"/>
                <w:kern w:val="0"/>
                <w:sz w:val="24"/>
              </w:rPr>
            </w:pPr>
          </w:p>
        </w:tc>
        <w:tc>
          <w:tcPr>
            <w:tcW w:w="2753" w:type="dxa"/>
            <w:vMerge w:val="continue"/>
          </w:tcPr>
          <w:p w14:paraId="6CCE9953">
            <w:pPr>
              <w:jc w:val="center"/>
              <w:rPr>
                <w:rFonts w:ascii="华文仿宋" w:hAnsi="华文仿宋" w:eastAsia="华文仿宋" w:cs="宋体"/>
                <w:color w:val="000000"/>
                <w:kern w:val="0"/>
                <w:sz w:val="24"/>
              </w:rPr>
            </w:pPr>
          </w:p>
        </w:tc>
        <w:tc>
          <w:tcPr>
            <w:tcW w:w="3982" w:type="dxa"/>
            <w:noWrap/>
          </w:tcPr>
          <w:p w14:paraId="785B644E">
            <w:pPr>
              <w:widowControl/>
              <w:jc w:val="center"/>
              <w:textAlignment w:val="center"/>
              <w:rPr>
                <w:rFonts w:ascii="华文仿宋" w:hAnsi="华文仿宋" w:eastAsia="华文仿宋" w:cs="宋体"/>
                <w:color w:val="000000"/>
                <w:kern w:val="0"/>
                <w:sz w:val="24"/>
              </w:rPr>
            </w:pPr>
            <w:r>
              <w:rPr>
                <w:rFonts w:hint="eastAsia" w:ascii="华文仿宋" w:hAnsi="华文仿宋" w:eastAsia="华文仿宋"/>
                <w:color w:val="000000"/>
                <w:kern w:val="0"/>
                <w:sz w:val="24"/>
              </w:rPr>
              <w:t>交通投资协调性指数</w:t>
            </w:r>
          </w:p>
        </w:tc>
      </w:tr>
      <w:tr w14:paraId="2D967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70" w:type="dxa"/>
            <w:vMerge w:val="continue"/>
          </w:tcPr>
          <w:p w14:paraId="7873A68D">
            <w:pPr>
              <w:jc w:val="center"/>
              <w:rPr>
                <w:rFonts w:ascii="华文仿宋" w:hAnsi="华文仿宋" w:eastAsia="华文仿宋" w:cs="宋体"/>
                <w:b w:val="0"/>
                <w:bCs w:val="0"/>
                <w:color w:val="000000"/>
                <w:kern w:val="0"/>
                <w:sz w:val="24"/>
              </w:rPr>
            </w:pPr>
          </w:p>
        </w:tc>
        <w:tc>
          <w:tcPr>
            <w:tcW w:w="1380" w:type="dxa"/>
            <w:vMerge w:val="continue"/>
            <w:noWrap/>
          </w:tcPr>
          <w:p w14:paraId="2417F88A">
            <w:pPr>
              <w:jc w:val="center"/>
              <w:rPr>
                <w:rFonts w:ascii="华文仿宋" w:hAnsi="华文仿宋" w:eastAsia="华文仿宋" w:cs="宋体"/>
                <w:color w:val="000000"/>
                <w:kern w:val="0"/>
                <w:sz w:val="24"/>
              </w:rPr>
            </w:pPr>
          </w:p>
        </w:tc>
        <w:tc>
          <w:tcPr>
            <w:tcW w:w="2753" w:type="dxa"/>
            <w:vMerge w:val="restart"/>
          </w:tcPr>
          <w:p w14:paraId="45F58983">
            <w:pPr>
              <w:widowControl/>
              <w:jc w:val="center"/>
              <w:textAlignment w:val="center"/>
              <w:rPr>
                <w:rFonts w:ascii="华文仿宋" w:hAnsi="华文仿宋" w:eastAsia="华文仿宋" w:cs="宋体"/>
                <w:color w:val="000000"/>
                <w:kern w:val="0"/>
                <w:sz w:val="24"/>
              </w:rPr>
            </w:pPr>
            <w:r>
              <w:rPr>
                <w:rFonts w:hint="eastAsia" w:ascii="华文仿宋" w:hAnsi="华文仿宋" w:eastAsia="华文仿宋"/>
                <w:color w:val="000000"/>
                <w:kern w:val="0"/>
                <w:sz w:val="24"/>
              </w:rPr>
              <w:t>综合运输能力适应性</w:t>
            </w:r>
          </w:p>
        </w:tc>
        <w:tc>
          <w:tcPr>
            <w:tcW w:w="3982" w:type="dxa"/>
            <w:noWrap/>
          </w:tcPr>
          <w:p w14:paraId="32F67620">
            <w:pPr>
              <w:widowControl/>
              <w:jc w:val="center"/>
              <w:textAlignment w:val="center"/>
              <w:rPr>
                <w:rFonts w:ascii="华文仿宋" w:hAnsi="华文仿宋" w:eastAsia="华文仿宋" w:cs="宋体"/>
                <w:color w:val="000000"/>
                <w:kern w:val="0"/>
                <w:sz w:val="24"/>
              </w:rPr>
            </w:pPr>
            <w:r>
              <w:rPr>
                <w:rFonts w:hint="eastAsia" w:ascii="华文仿宋" w:hAnsi="华文仿宋" w:eastAsia="华文仿宋"/>
                <w:color w:val="000000"/>
                <w:kern w:val="0"/>
                <w:sz w:val="24"/>
              </w:rPr>
              <w:t>货运强度</w:t>
            </w:r>
          </w:p>
        </w:tc>
      </w:tr>
      <w:tr w14:paraId="68853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70" w:type="dxa"/>
            <w:vMerge w:val="continue"/>
          </w:tcPr>
          <w:p w14:paraId="47C0189E">
            <w:pPr>
              <w:jc w:val="center"/>
              <w:rPr>
                <w:rFonts w:ascii="华文仿宋" w:hAnsi="华文仿宋" w:eastAsia="华文仿宋" w:cs="宋体"/>
                <w:b w:val="0"/>
                <w:bCs w:val="0"/>
                <w:color w:val="000000"/>
                <w:kern w:val="0"/>
                <w:sz w:val="24"/>
              </w:rPr>
            </w:pPr>
          </w:p>
        </w:tc>
        <w:tc>
          <w:tcPr>
            <w:tcW w:w="1380" w:type="dxa"/>
            <w:vMerge w:val="continue"/>
            <w:noWrap/>
          </w:tcPr>
          <w:p w14:paraId="471CD878">
            <w:pPr>
              <w:jc w:val="center"/>
              <w:rPr>
                <w:rFonts w:ascii="华文仿宋" w:hAnsi="华文仿宋" w:eastAsia="华文仿宋" w:cs="宋体"/>
                <w:color w:val="000000"/>
                <w:kern w:val="0"/>
                <w:sz w:val="24"/>
              </w:rPr>
            </w:pPr>
          </w:p>
        </w:tc>
        <w:tc>
          <w:tcPr>
            <w:tcW w:w="2753" w:type="dxa"/>
            <w:vMerge w:val="continue"/>
          </w:tcPr>
          <w:p w14:paraId="43377B4E">
            <w:pPr>
              <w:jc w:val="center"/>
              <w:rPr>
                <w:rFonts w:ascii="华文仿宋" w:hAnsi="华文仿宋" w:eastAsia="华文仿宋" w:cs="宋体"/>
                <w:color w:val="000000"/>
                <w:kern w:val="0"/>
                <w:sz w:val="24"/>
              </w:rPr>
            </w:pPr>
          </w:p>
        </w:tc>
        <w:tc>
          <w:tcPr>
            <w:tcW w:w="3982" w:type="dxa"/>
            <w:noWrap/>
          </w:tcPr>
          <w:p w14:paraId="2F821D46">
            <w:pPr>
              <w:widowControl/>
              <w:jc w:val="center"/>
              <w:textAlignment w:val="center"/>
              <w:rPr>
                <w:rFonts w:ascii="华文仿宋" w:hAnsi="华文仿宋" w:eastAsia="华文仿宋" w:cs="宋体"/>
                <w:color w:val="000000"/>
                <w:kern w:val="0"/>
                <w:sz w:val="24"/>
              </w:rPr>
            </w:pPr>
            <w:r>
              <w:rPr>
                <w:rFonts w:hint="eastAsia" w:ascii="华文仿宋" w:hAnsi="华文仿宋" w:eastAsia="华文仿宋"/>
                <w:color w:val="000000"/>
                <w:kern w:val="0"/>
                <w:sz w:val="24"/>
              </w:rPr>
              <w:t>客运强度</w:t>
            </w:r>
          </w:p>
        </w:tc>
      </w:tr>
      <w:tr w14:paraId="56206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70" w:type="dxa"/>
            <w:vMerge w:val="continue"/>
          </w:tcPr>
          <w:p w14:paraId="61E3A182">
            <w:pPr>
              <w:jc w:val="center"/>
              <w:rPr>
                <w:rFonts w:ascii="华文仿宋" w:hAnsi="华文仿宋" w:eastAsia="华文仿宋" w:cs="宋体"/>
                <w:b w:val="0"/>
                <w:bCs w:val="0"/>
                <w:color w:val="000000"/>
                <w:kern w:val="0"/>
                <w:sz w:val="24"/>
              </w:rPr>
            </w:pPr>
          </w:p>
        </w:tc>
        <w:tc>
          <w:tcPr>
            <w:tcW w:w="1380" w:type="dxa"/>
            <w:vMerge w:val="restart"/>
            <w:noWrap/>
          </w:tcPr>
          <w:p w14:paraId="69A9F988">
            <w:pPr>
              <w:widowControl/>
              <w:jc w:val="center"/>
              <w:textAlignment w:val="center"/>
              <w:rPr>
                <w:rFonts w:ascii="华文仿宋" w:hAnsi="华文仿宋" w:eastAsia="华文仿宋" w:cs="宋体"/>
                <w:color w:val="000000"/>
                <w:kern w:val="0"/>
                <w:sz w:val="24"/>
              </w:rPr>
            </w:pPr>
            <w:r>
              <w:rPr>
                <w:rFonts w:hint="eastAsia" w:ascii="华文仿宋" w:hAnsi="华文仿宋" w:eastAsia="华文仿宋"/>
                <w:color w:val="000000"/>
                <w:kern w:val="0"/>
                <w:sz w:val="24"/>
              </w:rPr>
              <w:t>运输结构</w:t>
            </w:r>
          </w:p>
        </w:tc>
        <w:tc>
          <w:tcPr>
            <w:tcW w:w="2753" w:type="dxa"/>
            <w:vMerge w:val="restart"/>
          </w:tcPr>
          <w:p w14:paraId="5DD5E100">
            <w:pPr>
              <w:widowControl/>
              <w:jc w:val="center"/>
              <w:textAlignment w:val="center"/>
              <w:rPr>
                <w:rFonts w:ascii="华文仿宋" w:hAnsi="华文仿宋" w:eastAsia="华文仿宋" w:cs="宋体"/>
                <w:color w:val="000000"/>
                <w:kern w:val="0"/>
                <w:sz w:val="24"/>
              </w:rPr>
            </w:pPr>
            <w:r>
              <w:rPr>
                <w:rFonts w:hint="eastAsia" w:ascii="华文仿宋" w:hAnsi="华文仿宋" w:eastAsia="华文仿宋"/>
                <w:color w:val="000000"/>
                <w:kern w:val="0"/>
                <w:sz w:val="24"/>
              </w:rPr>
              <w:t>与产业结构的协调性</w:t>
            </w:r>
          </w:p>
        </w:tc>
        <w:tc>
          <w:tcPr>
            <w:tcW w:w="3982" w:type="dxa"/>
            <w:noWrap/>
          </w:tcPr>
          <w:p w14:paraId="0619905E">
            <w:pPr>
              <w:widowControl/>
              <w:jc w:val="center"/>
              <w:textAlignment w:val="center"/>
              <w:rPr>
                <w:rFonts w:ascii="华文仿宋" w:hAnsi="华文仿宋" w:eastAsia="华文仿宋" w:cs="宋体"/>
                <w:color w:val="000000"/>
                <w:kern w:val="0"/>
                <w:sz w:val="24"/>
              </w:rPr>
            </w:pPr>
            <w:r>
              <w:rPr>
                <w:rFonts w:hint="eastAsia" w:ascii="华文仿宋" w:hAnsi="华文仿宋" w:eastAsia="华文仿宋"/>
                <w:color w:val="000000"/>
                <w:kern w:val="0"/>
                <w:sz w:val="24"/>
              </w:rPr>
              <w:t>货运量与第一、第二产业发展协调指数</w:t>
            </w:r>
          </w:p>
        </w:tc>
      </w:tr>
      <w:tr w14:paraId="177C6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970" w:type="dxa"/>
            <w:vMerge w:val="continue"/>
          </w:tcPr>
          <w:p w14:paraId="1D8FE510">
            <w:pPr>
              <w:jc w:val="center"/>
              <w:rPr>
                <w:rFonts w:ascii="华文仿宋" w:hAnsi="华文仿宋" w:eastAsia="华文仿宋" w:cs="宋体"/>
                <w:b w:val="0"/>
                <w:bCs w:val="0"/>
                <w:color w:val="000000"/>
                <w:kern w:val="0"/>
                <w:sz w:val="24"/>
              </w:rPr>
            </w:pPr>
          </w:p>
        </w:tc>
        <w:tc>
          <w:tcPr>
            <w:tcW w:w="1380" w:type="dxa"/>
            <w:vMerge w:val="continue"/>
            <w:noWrap/>
          </w:tcPr>
          <w:p w14:paraId="0C57A09E">
            <w:pPr>
              <w:jc w:val="center"/>
              <w:rPr>
                <w:rFonts w:ascii="华文仿宋" w:hAnsi="华文仿宋" w:eastAsia="华文仿宋" w:cs="宋体"/>
                <w:color w:val="000000"/>
                <w:kern w:val="0"/>
                <w:sz w:val="24"/>
              </w:rPr>
            </w:pPr>
          </w:p>
        </w:tc>
        <w:tc>
          <w:tcPr>
            <w:tcW w:w="2753" w:type="dxa"/>
            <w:vMerge w:val="continue"/>
          </w:tcPr>
          <w:p w14:paraId="45F3ABCF">
            <w:pPr>
              <w:jc w:val="center"/>
              <w:rPr>
                <w:rFonts w:ascii="华文仿宋" w:hAnsi="华文仿宋" w:eastAsia="华文仿宋" w:cs="宋体"/>
                <w:color w:val="000000"/>
                <w:kern w:val="0"/>
                <w:sz w:val="24"/>
              </w:rPr>
            </w:pPr>
          </w:p>
        </w:tc>
        <w:tc>
          <w:tcPr>
            <w:tcW w:w="3982" w:type="dxa"/>
            <w:noWrap/>
          </w:tcPr>
          <w:p w14:paraId="4A3469DF">
            <w:pPr>
              <w:widowControl/>
              <w:jc w:val="center"/>
              <w:textAlignment w:val="center"/>
              <w:rPr>
                <w:rFonts w:ascii="华文仿宋" w:hAnsi="华文仿宋" w:eastAsia="华文仿宋" w:cs="宋体"/>
                <w:color w:val="000000"/>
                <w:kern w:val="0"/>
                <w:sz w:val="24"/>
              </w:rPr>
            </w:pPr>
            <w:r>
              <w:rPr>
                <w:rFonts w:hint="eastAsia" w:ascii="华文仿宋" w:hAnsi="华文仿宋" w:eastAsia="华文仿宋"/>
                <w:color w:val="000000"/>
                <w:kern w:val="0"/>
                <w:sz w:val="24"/>
              </w:rPr>
              <w:t>客运量与第三产业发展协调指数</w:t>
            </w:r>
          </w:p>
        </w:tc>
      </w:tr>
      <w:tr w14:paraId="56AC8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70" w:type="dxa"/>
            <w:vMerge w:val="continue"/>
          </w:tcPr>
          <w:p w14:paraId="2216BDA0">
            <w:pPr>
              <w:jc w:val="center"/>
              <w:rPr>
                <w:rFonts w:ascii="华文仿宋" w:hAnsi="华文仿宋" w:eastAsia="华文仿宋" w:cs="宋体"/>
                <w:b w:val="0"/>
                <w:bCs w:val="0"/>
                <w:color w:val="000000"/>
                <w:kern w:val="0"/>
                <w:sz w:val="24"/>
              </w:rPr>
            </w:pPr>
          </w:p>
        </w:tc>
        <w:tc>
          <w:tcPr>
            <w:tcW w:w="1380" w:type="dxa"/>
            <w:vMerge w:val="continue"/>
            <w:noWrap/>
          </w:tcPr>
          <w:p w14:paraId="3F7C358B">
            <w:pPr>
              <w:jc w:val="center"/>
              <w:rPr>
                <w:rFonts w:ascii="华文仿宋" w:hAnsi="华文仿宋" w:eastAsia="华文仿宋" w:cs="宋体"/>
                <w:color w:val="000000"/>
                <w:kern w:val="0"/>
                <w:sz w:val="24"/>
              </w:rPr>
            </w:pPr>
          </w:p>
        </w:tc>
        <w:tc>
          <w:tcPr>
            <w:tcW w:w="2753" w:type="dxa"/>
            <w:vMerge w:val="restart"/>
          </w:tcPr>
          <w:p w14:paraId="07B1820D">
            <w:pPr>
              <w:widowControl/>
              <w:jc w:val="center"/>
              <w:textAlignment w:val="center"/>
              <w:rPr>
                <w:rFonts w:ascii="华文仿宋" w:hAnsi="华文仿宋" w:eastAsia="华文仿宋" w:cs="宋体"/>
                <w:color w:val="000000"/>
                <w:kern w:val="0"/>
                <w:sz w:val="24"/>
              </w:rPr>
            </w:pPr>
            <w:r>
              <w:rPr>
                <w:rFonts w:hint="eastAsia" w:ascii="华文仿宋" w:hAnsi="华文仿宋" w:eastAsia="华文仿宋"/>
                <w:color w:val="000000"/>
                <w:kern w:val="0"/>
                <w:sz w:val="24"/>
              </w:rPr>
              <w:t>内部运输结构合理</w:t>
            </w:r>
          </w:p>
        </w:tc>
        <w:tc>
          <w:tcPr>
            <w:tcW w:w="3982" w:type="dxa"/>
            <w:noWrap/>
          </w:tcPr>
          <w:p w14:paraId="51EF47FC">
            <w:pPr>
              <w:widowControl/>
              <w:jc w:val="center"/>
              <w:textAlignment w:val="center"/>
              <w:rPr>
                <w:rFonts w:ascii="华文仿宋" w:hAnsi="华文仿宋" w:eastAsia="华文仿宋" w:cs="宋体"/>
                <w:color w:val="000000"/>
                <w:kern w:val="0"/>
                <w:sz w:val="24"/>
              </w:rPr>
            </w:pPr>
            <w:r>
              <w:rPr>
                <w:rFonts w:hint="eastAsia" w:ascii="华文仿宋" w:hAnsi="华文仿宋" w:eastAsia="华文仿宋"/>
                <w:color w:val="000000"/>
                <w:kern w:val="0"/>
                <w:sz w:val="24"/>
              </w:rPr>
              <w:t>客运平均运距</w:t>
            </w:r>
          </w:p>
        </w:tc>
      </w:tr>
      <w:tr w14:paraId="23A44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70" w:type="dxa"/>
            <w:vMerge w:val="continue"/>
          </w:tcPr>
          <w:p w14:paraId="598A3B9B">
            <w:pPr>
              <w:jc w:val="center"/>
              <w:rPr>
                <w:rFonts w:ascii="华文仿宋" w:hAnsi="华文仿宋" w:eastAsia="华文仿宋" w:cs="宋体"/>
                <w:b w:val="0"/>
                <w:bCs w:val="0"/>
                <w:color w:val="000000"/>
                <w:kern w:val="0"/>
                <w:sz w:val="24"/>
              </w:rPr>
            </w:pPr>
          </w:p>
        </w:tc>
        <w:tc>
          <w:tcPr>
            <w:tcW w:w="1380" w:type="dxa"/>
            <w:vMerge w:val="continue"/>
            <w:noWrap/>
          </w:tcPr>
          <w:p w14:paraId="2DDB66ED">
            <w:pPr>
              <w:jc w:val="center"/>
              <w:rPr>
                <w:rFonts w:ascii="华文仿宋" w:hAnsi="华文仿宋" w:eastAsia="华文仿宋" w:cs="宋体"/>
                <w:color w:val="000000"/>
                <w:kern w:val="0"/>
                <w:sz w:val="24"/>
              </w:rPr>
            </w:pPr>
          </w:p>
        </w:tc>
        <w:tc>
          <w:tcPr>
            <w:tcW w:w="2753" w:type="dxa"/>
            <w:vMerge w:val="continue"/>
          </w:tcPr>
          <w:p w14:paraId="70306974">
            <w:pPr>
              <w:jc w:val="center"/>
              <w:rPr>
                <w:rFonts w:ascii="华文仿宋" w:hAnsi="华文仿宋" w:eastAsia="华文仿宋" w:cs="宋体"/>
                <w:color w:val="000000"/>
                <w:kern w:val="0"/>
                <w:sz w:val="24"/>
              </w:rPr>
            </w:pPr>
          </w:p>
        </w:tc>
        <w:tc>
          <w:tcPr>
            <w:tcW w:w="3982" w:type="dxa"/>
            <w:noWrap/>
          </w:tcPr>
          <w:p w14:paraId="1ADDDF96">
            <w:pPr>
              <w:widowControl/>
              <w:jc w:val="center"/>
              <w:textAlignment w:val="center"/>
              <w:rPr>
                <w:rFonts w:ascii="华文仿宋" w:hAnsi="华文仿宋" w:eastAsia="华文仿宋" w:cs="宋体"/>
                <w:color w:val="000000"/>
                <w:kern w:val="0"/>
                <w:sz w:val="24"/>
              </w:rPr>
            </w:pPr>
            <w:r>
              <w:rPr>
                <w:rFonts w:hint="eastAsia" w:ascii="华文仿宋" w:hAnsi="华文仿宋" w:eastAsia="华文仿宋"/>
                <w:color w:val="000000"/>
                <w:kern w:val="0"/>
                <w:sz w:val="24"/>
              </w:rPr>
              <w:t>货运平均运距</w:t>
            </w:r>
          </w:p>
        </w:tc>
      </w:tr>
      <w:tr w14:paraId="2DFC8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70" w:type="dxa"/>
            <w:vMerge w:val="continue"/>
          </w:tcPr>
          <w:p w14:paraId="0605A32D">
            <w:pPr>
              <w:jc w:val="center"/>
              <w:rPr>
                <w:rFonts w:ascii="华文仿宋" w:hAnsi="华文仿宋" w:eastAsia="华文仿宋" w:cs="宋体"/>
                <w:b w:val="0"/>
                <w:bCs w:val="0"/>
                <w:color w:val="000000"/>
                <w:kern w:val="0"/>
                <w:sz w:val="24"/>
              </w:rPr>
            </w:pPr>
          </w:p>
        </w:tc>
        <w:tc>
          <w:tcPr>
            <w:tcW w:w="1380" w:type="dxa"/>
            <w:vMerge w:val="restart"/>
          </w:tcPr>
          <w:p w14:paraId="7C40230D">
            <w:pPr>
              <w:widowControl/>
              <w:jc w:val="center"/>
              <w:textAlignment w:val="center"/>
              <w:rPr>
                <w:rFonts w:ascii="华文仿宋" w:hAnsi="华文仿宋" w:eastAsia="华文仿宋" w:cs="宋体"/>
                <w:color w:val="000000"/>
                <w:kern w:val="0"/>
                <w:sz w:val="24"/>
              </w:rPr>
            </w:pPr>
            <w:r>
              <w:rPr>
                <w:rFonts w:hint="eastAsia" w:ascii="华文仿宋" w:hAnsi="华文仿宋" w:eastAsia="华文仿宋"/>
                <w:color w:val="000000"/>
                <w:kern w:val="0"/>
                <w:sz w:val="24"/>
              </w:rPr>
              <w:t>服务水平</w:t>
            </w:r>
          </w:p>
        </w:tc>
        <w:tc>
          <w:tcPr>
            <w:tcW w:w="2753" w:type="dxa"/>
          </w:tcPr>
          <w:p w14:paraId="5FAB97DD">
            <w:pPr>
              <w:widowControl/>
              <w:jc w:val="center"/>
              <w:textAlignment w:val="center"/>
              <w:rPr>
                <w:rFonts w:ascii="华文仿宋" w:hAnsi="华文仿宋" w:eastAsia="华文仿宋" w:cs="宋体"/>
                <w:color w:val="000000"/>
                <w:kern w:val="0"/>
                <w:sz w:val="24"/>
              </w:rPr>
            </w:pPr>
            <w:r>
              <w:rPr>
                <w:rFonts w:hint="eastAsia" w:ascii="华文仿宋" w:hAnsi="华文仿宋" w:eastAsia="华文仿宋"/>
                <w:color w:val="000000"/>
                <w:kern w:val="0"/>
                <w:sz w:val="24"/>
              </w:rPr>
              <w:t>运网服务水平</w:t>
            </w:r>
          </w:p>
        </w:tc>
        <w:tc>
          <w:tcPr>
            <w:tcW w:w="3982" w:type="dxa"/>
            <w:noWrap/>
          </w:tcPr>
          <w:p w14:paraId="6EF2D5D7">
            <w:pPr>
              <w:widowControl/>
              <w:jc w:val="center"/>
              <w:textAlignment w:val="center"/>
              <w:rPr>
                <w:rFonts w:ascii="华文仿宋" w:hAnsi="华文仿宋" w:eastAsia="华文仿宋" w:cs="宋体"/>
                <w:color w:val="000000"/>
                <w:kern w:val="0"/>
                <w:sz w:val="24"/>
              </w:rPr>
            </w:pPr>
            <w:r>
              <w:rPr>
                <w:rFonts w:hint="eastAsia" w:ascii="华文仿宋" w:hAnsi="华文仿宋" w:eastAsia="华文仿宋"/>
                <w:color w:val="000000"/>
                <w:kern w:val="0"/>
                <w:sz w:val="24"/>
              </w:rPr>
              <w:t>运网连通度</w:t>
            </w:r>
          </w:p>
        </w:tc>
      </w:tr>
      <w:tr w14:paraId="2204C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70" w:type="dxa"/>
            <w:vMerge w:val="continue"/>
          </w:tcPr>
          <w:p w14:paraId="6C798EFB">
            <w:pPr>
              <w:jc w:val="center"/>
              <w:rPr>
                <w:rFonts w:ascii="华文仿宋" w:hAnsi="华文仿宋" w:eastAsia="华文仿宋" w:cs="宋体"/>
                <w:b w:val="0"/>
                <w:bCs w:val="0"/>
                <w:color w:val="000000"/>
                <w:kern w:val="0"/>
                <w:sz w:val="24"/>
              </w:rPr>
            </w:pPr>
          </w:p>
        </w:tc>
        <w:tc>
          <w:tcPr>
            <w:tcW w:w="1380" w:type="dxa"/>
            <w:vMerge w:val="continue"/>
          </w:tcPr>
          <w:p w14:paraId="1E4C917F">
            <w:pPr>
              <w:jc w:val="center"/>
              <w:rPr>
                <w:rFonts w:ascii="华文仿宋" w:hAnsi="华文仿宋" w:eastAsia="华文仿宋" w:cs="宋体"/>
                <w:color w:val="000000"/>
                <w:kern w:val="0"/>
                <w:sz w:val="24"/>
              </w:rPr>
            </w:pPr>
          </w:p>
        </w:tc>
        <w:tc>
          <w:tcPr>
            <w:tcW w:w="2753" w:type="dxa"/>
            <w:vMerge w:val="restart"/>
          </w:tcPr>
          <w:p w14:paraId="04A0C126">
            <w:pPr>
              <w:widowControl/>
              <w:jc w:val="center"/>
              <w:textAlignment w:val="center"/>
              <w:rPr>
                <w:rFonts w:ascii="华文仿宋" w:hAnsi="华文仿宋" w:eastAsia="华文仿宋" w:cs="宋体"/>
                <w:color w:val="000000"/>
                <w:kern w:val="0"/>
                <w:sz w:val="24"/>
              </w:rPr>
            </w:pPr>
            <w:r>
              <w:rPr>
                <w:rFonts w:hint="eastAsia" w:ascii="华文仿宋" w:hAnsi="华文仿宋" w:eastAsia="华文仿宋"/>
                <w:color w:val="000000"/>
                <w:kern w:val="0"/>
                <w:sz w:val="24"/>
              </w:rPr>
              <w:t>安全水平</w:t>
            </w:r>
          </w:p>
        </w:tc>
        <w:tc>
          <w:tcPr>
            <w:tcW w:w="3982" w:type="dxa"/>
            <w:noWrap/>
          </w:tcPr>
          <w:p w14:paraId="63EB6EFA">
            <w:pPr>
              <w:widowControl/>
              <w:jc w:val="center"/>
              <w:textAlignment w:val="center"/>
              <w:rPr>
                <w:rFonts w:ascii="华文仿宋" w:hAnsi="华文仿宋" w:eastAsia="华文仿宋" w:cs="宋体"/>
                <w:color w:val="000000"/>
                <w:kern w:val="0"/>
                <w:sz w:val="24"/>
              </w:rPr>
            </w:pPr>
            <w:r>
              <w:rPr>
                <w:rFonts w:hint="eastAsia" w:ascii="华文仿宋" w:hAnsi="华文仿宋" w:eastAsia="华文仿宋"/>
                <w:color w:val="000000"/>
                <w:kern w:val="0"/>
                <w:sz w:val="24"/>
              </w:rPr>
              <w:t>万车事故率</w:t>
            </w:r>
          </w:p>
        </w:tc>
      </w:tr>
      <w:tr w14:paraId="5D54A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70" w:type="dxa"/>
            <w:vMerge w:val="continue"/>
          </w:tcPr>
          <w:p w14:paraId="6298F021">
            <w:pPr>
              <w:jc w:val="center"/>
              <w:rPr>
                <w:rFonts w:ascii="华文仿宋" w:hAnsi="华文仿宋" w:eastAsia="华文仿宋" w:cs="宋体"/>
                <w:b w:val="0"/>
                <w:bCs w:val="0"/>
                <w:color w:val="000000"/>
                <w:kern w:val="0"/>
                <w:sz w:val="24"/>
              </w:rPr>
            </w:pPr>
          </w:p>
        </w:tc>
        <w:tc>
          <w:tcPr>
            <w:tcW w:w="1380" w:type="dxa"/>
            <w:vMerge w:val="continue"/>
          </w:tcPr>
          <w:p w14:paraId="7FA8C793">
            <w:pPr>
              <w:jc w:val="center"/>
              <w:rPr>
                <w:rFonts w:ascii="华文仿宋" w:hAnsi="华文仿宋" w:eastAsia="华文仿宋" w:cs="宋体"/>
                <w:color w:val="000000"/>
                <w:kern w:val="0"/>
                <w:sz w:val="24"/>
              </w:rPr>
            </w:pPr>
          </w:p>
        </w:tc>
        <w:tc>
          <w:tcPr>
            <w:tcW w:w="2753" w:type="dxa"/>
            <w:vMerge w:val="continue"/>
          </w:tcPr>
          <w:p w14:paraId="7DD4DA4F">
            <w:pPr>
              <w:jc w:val="center"/>
              <w:rPr>
                <w:rFonts w:ascii="华文仿宋" w:hAnsi="华文仿宋" w:eastAsia="华文仿宋" w:cs="宋体"/>
                <w:color w:val="000000"/>
                <w:kern w:val="0"/>
                <w:sz w:val="24"/>
              </w:rPr>
            </w:pPr>
          </w:p>
        </w:tc>
        <w:tc>
          <w:tcPr>
            <w:tcW w:w="3982" w:type="dxa"/>
            <w:noWrap/>
          </w:tcPr>
          <w:p w14:paraId="04B70C0D">
            <w:pPr>
              <w:widowControl/>
              <w:jc w:val="center"/>
              <w:textAlignment w:val="center"/>
              <w:rPr>
                <w:rFonts w:ascii="华文仿宋" w:hAnsi="华文仿宋" w:eastAsia="华文仿宋" w:cs="宋体"/>
                <w:color w:val="000000"/>
                <w:kern w:val="0"/>
                <w:sz w:val="24"/>
              </w:rPr>
            </w:pPr>
            <w:r>
              <w:rPr>
                <w:rFonts w:hint="eastAsia" w:ascii="华文仿宋" w:hAnsi="华文仿宋" w:eastAsia="华文仿宋"/>
                <w:color w:val="000000"/>
                <w:kern w:val="0"/>
                <w:sz w:val="24"/>
              </w:rPr>
              <w:t>万车死亡率</w:t>
            </w:r>
          </w:p>
        </w:tc>
      </w:tr>
    </w:tbl>
    <w:p w14:paraId="1FEA5AFB">
      <w:pPr>
        <w:spacing w:line="360" w:lineRule="auto"/>
        <w:ind w:firstLine="480"/>
        <w:rPr>
          <w:rFonts w:ascii="华文仿宋" w:hAnsi="华文仿宋" w:eastAsia="华文仿宋"/>
          <w:color w:val="000000"/>
          <w:sz w:val="28"/>
          <w:szCs w:val="28"/>
        </w:rPr>
      </w:pPr>
      <w:r>
        <w:rPr>
          <w:rFonts w:hint="eastAsia" w:ascii="华文仿宋" w:hAnsi="华文仿宋" w:eastAsia="华文仿宋"/>
          <w:color w:val="000000"/>
          <w:sz w:val="28"/>
          <w:szCs w:val="28"/>
        </w:rPr>
        <w:t>项目组以近几年突泉的统计数据为基础，使用全国平均水平及周边县市作为对照，分析突泉交通发展现状与其经济适应水平。</w:t>
      </w:r>
    </w:p>
    <w:p w14:paraId="541CCE9D">
      <w:pPr>
        <w:spacing w:line="360" w:lineRule="auto"/>
        <w:rPr>
          <w:rFonts w:ascii="华文仿宋" w:hAnsi="华文仿宋" w:eastAsia="华文仿宋"/>
          <w:b/>
          <w:bCs/>
          <w:color w:val="000000"/>
          <w:sz w:val="28"/>
          <w:szCs w:val="28"/>
        </w:rPr>
      </w:pPr>
      <w:r>
        <w:rPr>
          <w:rFonts w:hint="eastAsia" w:ascii="华文仿宋" w:hAnsi="华文仿宋" w:eastAsia="华文仿宋"/>
          <w:b/>
          <w:bCs/>
          <w:color w:val="000000"/>
          <w:sz w:val="28"/>
          <w:szCs w:val="28"/>
        </w:rPr>
        <w:t>1、总量规模</w:t>
      </w:r>
    </w:p>
    <w:p w14:paraId="6C2F6AFF">
      <w:pPr>
        <w:spacing w:line="360" w:lineRule="auto"/>
        <w:rPr>
          <w:rFonts w:ascii="华文仿宋" w:hAnsi="华文仿宋" w:eastAsia="华文仿宋"/>
          <w:b/>
          <w:bCs/>
          <w:color w:val="000000"/>
          <w:sz w:val="28"/>
          <w:szCs w:val="28"/>
        </w:rPr>
      </w:pPr>
      <w:r>
        <w:rPr>
          <w:rFonts w:hint="eastAsia" w:ascii="华文仿宋" w:hAnsi="华文仿宋" w:eastAsia="华文仿宋"/>
          <w:b/>
          <w:bCs/>
          <w:color w:val="000000"/>
          <w:sz w:val="28"/>
          <w:szCs w:val="28"/>
        </w:rPr>
        <w:t>（1）设施与投资规模适应性</w:t>
      </w:r>
    </w:p>
    <w:p w14:paraId="294750CB">
      <w:pPr>
        <w:spacing w:line="360" w:lineRule="auto"/>
        <w:rPr>
          <w:rFonts w:ascii="华文仿宋" w:hAnsi="华文仿宋" w:eastAsia="华文仿宋"/>
          <w:b/>
          <w:bCs/>
          <w:color w:val="000000"/>
          <w:sz w:val="28"/>
          <w:szCs w:val="28"/>
        </w:rPr>
      </w:pPr>
      <w:r>
        <w:rPr>
          <w:rFonts w:hint="eastAsia" w:ascii="华文仿宋" w:hAnsi="华文仿宋" w:eastAsia="华文仿宋"/>
          <w:b/>
          <w:bCs/>
          <w:color w:val="000000"/>
          <w:sz w:val="28"/>
          <w:szCs w:val="28"/>
        </w:rPr>
        <w:t>1）交通运网综合密度</w:t>
      </w:r>
    </w:p>
    <w:p w14:paraId="2873A67A">
      <w:pPr>
        <w:spacing w:line="360" w:lineRule="auto"/>
        <w:ind w:firstLine="480"/>
        <w:rPr>
          <w:rFonts w:ascii="华文仿宋" w:hAnsi="华文仿宋" w:eastAsia="华文仿宋"/>
          <w:color w:val="000000"/>
          <w:sz w:val="28"/>
          <w:szCs w:val="28"/>
        </w:rPr>
      </w:pPr>
      <w:r>
        <w:rPr>
          <w:rFonts w:ascii="华文仿宋" w:hAnsi="华文仿宋" w:eastAsia="华文仿宋"/>
          <w:color w:val="000000"/>
          <w:sz w:val="28"/>
          <w:szCs w:val="28"/>
          <w:lang w:val="zh-CN"/>
        </w:rPr>
        <w:t>交通运网密度反映了交通运输体系建设的总体规模与水平</w:t>
      </w:r>
      <w:r>
        <w:rPr>
          <w:rFonts w:hint="eastAsia" w:ascii="华文仿宋" w:hAnsi="华文仿宋" w:eastAsia="华文仿宋" w:cs="宋体"/>
          <w:color w:val="000000"/>
          <w:sz w:val="28"/>
          <w:szCs w:val="28"/>
          <w:lang w:val="zh-CN"/>
        </w:rPr>
        <w:t>，</w:t>
      </w:r>
      <w:r>
        <w:rPr>
          <w:rFonts w:ascii="华文仿宋" w:hAnsi="华文仿宋" w:eastAsia="华文仿宋"/>
          <w:color w:val="000000"/>
          <w:sz w:val="28"/>
          <w:szCs w:val="28"/>
          <w:lang w:val="zh-CN"/>
        </w:rPr>
        <w:t>一般情况下</w:t>
      </w:r>
      <w:r>
        <w:rPr>
          <w:rFonts w:hint="eastAsia" w:ascii="华文仿宋" w:hAnsi="华文仿宋" w:eastAsia="华文仿宋" w:cs="宋体"/>
          <w:color w:val="000000"/>
          <w:sz w:val="28"/>
          <w:szCs w:val="28"/>
          <w:lang w:val="zh-CN"/>
        </w:rPr>
        <w:t>，其</w:t>
      </w:r>
      <w:r>
        <w:rPr>
          <w:rFonts w:ascii="华文仿宋" w:hAnsi="华文仿宋" w:eastAsia="华文仿宋"/>
          <w:color w:val="000000"/>
          <w:sz w:val="28"/>
          <w:szCs w:val="28"/>
          <w:lang w:val="zh-CN"/>
        </w:rPr>
        <w:t>与地区的人口密度和经济发展水平成正比</w:t>
      </w:r>
      <w:r>
        <w:rPr>
          <w:rFonts w:hint="eastAsia" w:ascii="华文仿宋" w:hAnsi="华文仿宋" w:eastAsia="华文仿宋" w:cs="宋体"/>
          <w:color w:val="000000"/>
          <w:sz w:val="28"/>
          <w:szCs w:val="28"/>
          <w:lang w:val="zh-CN"/>
        </w:rPr>
        <w:t>，具体</w:t>
      </w:r>
      <w:r>
        <w:rPr>
          <w:rFonts w:hint="eastAsia" w:ascii="华文仿宋" w:hAnsi="华文仿宋" w:eastAsia="华文仿宋"/>
          <w:color w:val="000000"/>
          <w:sz w:val="28"/>
          <w:szCs w:val="28"/>
        </w:rPr>
        <w:t>计算公式如下：</w:t>
      </w:r>
    </w:p>
    <w:p w14:paraId="6D55C903">
      <w:pPr>
        <w:spacing w:line="360" w:lineRule="auto"/>
        <w:jc w:val="center"/>
        <w:rPr>
          <w:rFonts w:ascii="华文仿宋" w:hAnsi="华文仿宋" w:eastAsia="华文仿宋"/>
          <w:color w:val="000000"/>
          <w:sz w:val="28"/>
          <w:szCs w:val="28"/>
        </w:rPr>
      </w:pPr>
      <w:r>
        <w:rPr>
          <w:rFonts w:hint="eastAsia" w:ascii="华文仿宋" w:hAnsi="华文仿宋" w:eastAsia="华文仿宋"/>
          <w:color w:val="000000"/>
          <w:position w:val="-12"/>
          <w:sz w:val="28"/>
          <w:szCs w:val="28"/>
        </w:rPr>
        <w:object>
          <v:shape id="_x0000_i1025" o:spt="75" type="#_x0000_t75" style="height:20.25pt;width:70.5pt;" o:ole="t" filled="f" o:preferrelative="t" stroked="f" coordsize="21600,21600">
            <v:path/>
            <v:fill on="f" focussize="0,0"/>
            <v:stroke on="f" joinstyle="miter"/>
            <v:imagedata r:id="rId9" o:title=""/>
            <o:lock v:ext="edit" aspectratio="t"/>
            <w10:wrap type="none"/>
            <w10:anchorlock/>
          </v:shape>
          <o:OLEObject Type="Embed" ProgID="Equation.3" ShapeID="_x0000_i1025" DrawAspect="Content" ObjectID="_1468075725" r:id="rId8">
            <o:LockedField>false</o:LockedField>
          </o:OLEObject>
        </w:object>
      </w:r>
    </w:p>
    <w:p w14:paraId="05000237">
      <w:pPr>
        <w:spacing w:line="360" w:lineRule="auto"/>
        <w:rPr>
          <w:rFonts w:ascii="华文仿宋" w:hAnsi="华文仿宋" w:eastAsia="华文仿宋"/>
          <w:color w:val="000000"/>
          <w:sz w:val="28"/>
          <w:szCs w:val="28"/>
          <w:lang w:val="zh-CN"/>
        </w:rPr>
      </w:pPr>
      <w:r>
        <w:rPr>
          <w:rFonts w:ascii="华文仿宋" w:hAnsi="华文仿宋" w:eastAsia="华文仿宋"/>
          <w:color w:val="000000"/>
          <w:sz w:val="28"/>
          <w:szCs w:val="28"/>
          <w:lang w:val="zh-CN"/>
        </w:rPr>
        <w:t>式中</w:t>
      </w:r>
      <w:r>
        <w:rPr>
          <w:rFonts w:hint="eastAsia" w:ascii="华文仿宋" w:hAnsi="华文仿宋" w:eastAsia="华文仿宋"/>
          <w:color w:val="000000"/>
          <w:sz w:val="28"/>
          <w:szCs w:val="28"/>
          <w:lang w:val="zh-CN"/>
        </w:rPr>
        <w:t>，</w:t>
      </w:r>
      <m:oMath>
        <m:r>
          <m:rPr/>
          <w:rPr>
            <w:rFonts w:ascii="Cambria Math" w:hAnsi="Cambria Math" w:eastAsia="华文仿宋"/>
            <w:color w:val="000000"/>
            <w:sz w:val="28"/>
            <w:szCs w:val="28"/>
            <w:lang w:val="zh-CN"/>
          </w:rPr>
          <m:t>δ</m:t>
        </m:r>
      </m:oMath>
      <w:r>
        <w:rPr>
          <w:rFonts w:ascii="华文仿宋" w:hAnsi="华文仿宋" w:eastAsia="华文仿宋"/>
          <w:color w:val="000000"/>
          <w:sz w:val="28"/>
          <w:szCs w:val="28"/>
          <w:lang w:val="zh-CN"/>
        </w:rPr>
        <w:t>——运网综合密度</w:t>
      </w:r>
      <w:r>
        <w:rPr>
          <w:rFonts w:hint="eastAsia" w:ascii="华文仿宋" w:hAnsi="华文仿宋" w:eastAsia="华文仿宋" w:cs="宋体"/>
          <w:color w:val="000000"/>
          <w:sz w:val="28"/>
          <w:szCs w:val="28"/>
          <w:lang w:val="zh-CN"/>
        </w:rPr>
        <w:t>；</w:t>
      </w:r>
      <w:r>
        <w:rPr>
          <w:rFonts w:ascii="华文仿宋" w:hAnsi="华文仿宋" w:eastAsia="华文仿宋"/>
          <w:i/>
          <w:iCs/>
          <w:color w:val="000000"/>
          <w:sz w:val="28"/>
          <w:szCs w:val="28"/>
          <w:lang w:val="zh-CN"/>
        </w:rPr>
        <w:t>A</w:t>
      </w:r>
      <w:r>
        <w:rPr>
          <w:rFonts w:ascii="华文仿宋" w:hAnsi="华文仿宋" w:eastAsia="华文仿宋"/>
          <w:color w:val="000000"/>
          <w:sz w:val="28"/>
          <w:szCs w:val="28"/>
          <w:lang w:val="zh-CN"/>
        </w:rPr>
        <w:t>——区域面积，</w:t>
      </w:r>
      <w:r>
        <w:rPr>
          <w:rFonts w:hint="eastAsia" w:ascii="华文仿宋" w:hAnsi="华文仿宋" w:eastAsia="华文仿宋" w:cs="宋体"/>
          <w:color w:val="000000"/>
          <w:sz w:val="28"/>
          <w:szCs w:val="28"/>
          <w:lang w:val="zh-CN"/>
        </w:rPr>
        <w:t>万</w:t>
      </w:r>
      <w:r>
        <w:rPr>
          <w:rFonts w:ascii="华文仿宋" w:hAnsi="华文仿宋" w:eastAsia="华文仿宋"/>
          <w:color w:val="000000"/>
          <w:sz w:val="28"/>
          <w:szCs w:val="28"/>
          <w:lang w:val="zh-CN"/>
        </w:rPr>
        <w:t>km</w:t>
      </w:r>
      <w:r>
        <w:rPr>
          <w:rFonts w:ascii="华文仿宋" w:hAnsi="华文仿宋" w:eastAsia="华文仿宋"/>
          <w:color w:val="000000"/>
          <w:sz w:val="28"/>
          <w:szCs w:val="28"/>
          <w:vertAlign w:val="superscript"/>
          <w:lang w:val="zh-CN"/>
        </w:rPr>
        <w:t>2</w:t>
      </w:r>
      <w:r>
        <w:rPr>
          <w:rFonts w:ascii="华文仿宋" w:hAnsi="华文仿宋" w:eastAsia="华文仿宋"/>
          <w:color w:val="000000"/>
          <w:sz w:val="28"/>
          <w:szCs w:val="28"/>
          <w:lang w:val="zh-CN"/>
        </w:rPr>
        <w:t>；</w:t>
      </w:r>
      <w:r>
        <w:rPr>
          <w:rFonts w:ascii="华文仿宋" w:hAnsi="华文仿宋" w:eastAsia="华文仿宋"/>
          <w:i/>
          <w:iCs/>
          <w:color w:val="000000"/>
          <w:sz w:val="28"/>
          <w:szCs w:val="28"/>
          <w:lang w:val="zh-CN"/>
        </w:rPr>
        <w:t>P</w:t>
      </w:r>
      <w:r>
        <w:rPr>
          <w:rFonts w:ascii="华文仿宋" w:hAnsi="华文仿宋" w:eastAsia="华文仿宋"/>
          <w:color w:val="000000"/>
          <w:sz w:val="28"/>
          <w:szCs w:val="28"/>
          <w:lang w:val="zh-CN"/>
        </w:rPr>
        <w:t>——区域人口，万人</w:t>
      </w:r>
      <w:r>
        <w:rPr>
          <w:rFonts w:hint="eastAsia" w:ascii="华文仿宋" w:hAnsi="华文仿宋" w:eastAsia="华文仿宋" w:cs="宋体"/>
          <w:color w:val="000000"/>
          <w:sz w:val="28"/>
          <w:szCs w:val="28"/>
          <w:lang w:val="zh-CN"/>
        </w:rPr>
        <w:t>；</w:t>
      </w:r>
      <w:r>
        <w:rPr>
          <w:rFonts w:ascii="华文仿宋" w:hAnsi="华文仿宋" w:eastAsia="华文仿宋"/>
          <w:i/>
          <w:iCs/>
          <w:color w:val="000000"/>
          <w:sz w:val="28"/>
          <w:szCs w:val="28"/>
          <w:lang w:val="zh-CN"/>
        </w:rPr>
        <w:t>Q</w:t>
      </w:r>
      <w:r>
        <w:rPr>
          <w:rFonts w:ascii="华文仿宋" w:hAnsi="华文仿宋" w:eastAsia="华文仿宋"/>
          <w:color w:val="000000"/>
          <w:sz w:val="28"/>
          <w:szCs w:val="28"/>
          <w:lang w:val="zh-CN"/>
        </w:rPr>
        <w:t>——区域</w:t>
      </w:r>
      <w:r>
        <w:rPr>
          <w:rFonts w:hint="eastAsia" w:ascii="华文仿宋" w:hAnsi="华文仿宋" w:eastAsia="华文仿宋"/>
          <w:color w:val="000000"/>
          <w:sz w:val="28"/>
          <w:szCs w:val="28"/>
          <w:lang w:val="zh-CN"/>
        </w:rPr>
        <w:t>第一产业与第二产业</w:t>
      </w:r>
      <w:r>
        <w:rPr>
          <w:rFonts w:ascii="华文仿宋" w:hAnsi="华文仿宋" w:eastAsia="华文仿宋"/>
          <w:color w:val="000000"/>
          <w:sz w:val="28"/>
          <w:szCs w:val="28"/>
          <w:lang w:val="zh-CN"/>
        </w:rPr>
        <w:t>产值，</w:t>
      </w:r>
      <w:r>
        <w:rPr>
          <w:rFonts w:hint="eastAsia" w:ascii="华文仿宋" w:hAnsi="华文仿宋" w:eastAsia="华文仿宋" w:cs="宋体"/>
          <w:color w:val="000000"/>
          <w:sz w:val="28"/>
          <w:szCs w:val="28"/>
          <w:lang w:val="zh-CN"/>
        </w:rPr>
        <w:t>亿</w:t>
      </w:r>
      <w:r>
        <w:rPr>
          <w:rFonts w:ascii="华文仿宋" w:hAnsi="华文仿宋" w:eastAsia="华文仿宋"/>
          <w:color w:val="000000"/>
          <w:sz w:val="28"/>
          <w:szCs w:val="28"/>
          <w:lang w:val="zh-CN"/>
        </w:rPr>
        <w:t>元</w:t>
      </w:r>
      <w:r>
        <w:rPr>
          <w:rFonts w:hint="eastAsia" w:ascii="华文仿宋" w:hAnsi="华文仿宋" w:eastAsia="华文仿宋" w:cs="宋体"/>
          <w:color w:val="000000"/>
          <w:sz w:val="28"/>
          <w:szCs w:val="28"/>
          <w:lang w:val="zh-CN"/>
        </w:rPr>
        <w:t>；</w:t>
      </w:r>
      <w:r>
        <w:rPr>
          <w:rFonts w:ascii="华文仿宋" w:hAnsi="华文仿宋" w:eastAsia="华文仿宋"/>
          <w:i/>
          <w:iCs/>
          <w:color w:val="000000"/>
          <w:sz w:val="28"/>
          <w:szCs w:val="28"/>
          <w:lang w:val="zh-CN"/>
        </w:rPr>
        <w:t>L</w:t>
      </w:r>
      <w:r>
        <w:rPr>
          <w:rFonts w:ascii="华文仿宋" w:hAnsi="华文仿宋" w:eastAsia="华文仿宋"/>
          <w:color w:val="000000"/>
          <w:sz w:val="28"/>
          <w:szCs w:val="28"/>
          <w:lang w:val="zh-CN"/>
        </w:rPr>
        <w:t>——</w:t>
      </w:r>
      <w:r>
        <w:rPr>
          <w:rFonts w:hint="eastAsia" w:ascii="华文仿宋" w:hAnsi="华文仿宋" w:eastAsia="华文仿宋" w:cs="宋体"/>
          <w:color w:val="000000"/>
          <w:sz w:val="28"/>
          <w:szCs w:val="28"/>
          <w:lang w:val="zh-CN"/>
        </w:rPr>
        <w:t>铁路、公路、水运三种</w:t>
      </w:r>
      <w:r>
        <w:rPr>
          <w:rFonts w:ascii="华文仿宋" w:hAnsi="华文仿宋" w:eastAsia="华文仿宋"/>
          <w:color w:val="000000"/>
          <w:sz w:val="28"/>
          <w:szCs w:val="28"/>
          <w:lang w:val="zh-CN"/>
        </w:rPr>
        <w:t>运输方式的总里程，</w:t>
      </w:r>
      <w:r>
        <w:rPr>
          <w:rFonts w:hint="eastAsia" w:ascii="华文仿宋" w:hAnsi="华文仿宋" w:eastAsia="华文仿宋" w:cs="宋体"/>
          <w:color w:val="000000"/>
          <w:sz w:val="28"/>
          <w:szCs w:val="28"/>
          <w:lang w:val="zh-CN"/>
        </w:rPr>
        <w:t>万</w:t>
      </w:r>
      <w:r>
        <w:rPr>
          <w:rFonts w:ascii="华文仿宋" w:hAnsi="华文仿宋" w:eastAsia="华文仿宋"/>
          <w:color w:val="000000"/>
          <w:sz w:val="28"/>
          <w:szCs w:val="28"/>
          <w:lang w:val="zh-CN"/>
        </w:rPr>
        <w:t>km。</w:t>
      </w:r>
    </w:p>
    <w:p w14:paraId="1675D5D2">
      <w:pPr>
        <w:spacing w:line="360" w:lineRule="auto"/>
        <w:rPr>
          <w:rFonts w:ascii="华文仿宋" w:hAnsi="华文仿宋" w:eastAsia="华文仿宋"/>
          <w:b/>
          <w:bCs/>
          <w:color w:val="000000"/>
          <w:sz w:val="28"/>
          <w:szCs w:val="28"/>
        </w:rPr>
      </w:pPr>
      <w:r>
        <w:rPr>
          <w:rFonts w:hint="eastAsia" w:ascii="华文仿宋" w:hAnsi="华文仿宋" w:eastAsia="华文仿宋"/>
          <w:b/>
          <w:bCs/>
          <w:color w:val="000000"/>
          <w:sz w:val="28"/>
          <w:szCs w:val="28"/>
        </w:rPr>
        <w:t>2）运网等级水平指数</w:t>
      </w:r>
    </w:p>
    <w:p w14:paraId="08284223">
      <w:pPr>
        <w:autoSpaceDE w:val="0"/>
        <w:autoSpaceDN w:val="0"/>
        <w:spacing w:line="360" w:lineRule="auto"/>
        <w:ind w:firstLine="600"/>
        <w:rPr>
          <w:rFonts w:ascii="华文仿宋" w:hAnsi="华文仿宋" w:eastAsia="华文仿宋"/>
          <w:color w:val="000000"/>
          <w:kern w:val="0"/>
          <w:sz w:val="28"/>
          <w:szCs w:val="28"/>
          <w:lang w:val="zh-CN"/>
        </w:rPr>
      </w:pPr>
      <w:r>
        <w:rPr>
          <w:rFonts w:ascii="华文仿宋" w:hAnsi="华文仿宋" w:eastAsia="华文仿宋"/>
          <w:color w:val="000000"/>
          <w:kern w:val="0"/>
          <w:sz w:val="28"/>
          <w:szCs w:val="28"/>
          <w:lang w:val="zh-CN"/>
        </w:rPr>
        <w:t>运网等级水平指数通常用运网中各路段等级的里程加权平均值表示，主要反映交通路网技术等级的总体情况</w:t>
      </w:r>
      <w:r>
        <w:rPr>
          <w:rFonts w:hint="eastAsia" w:ascii="华文仿宋" w:hAnsi="华文仿宋" w:eastAsia="华文仿宋"/>
          <w:color w:val="000000"/>
          <w:kern w:val="0"/>
          <w:sz w:val="28"/>
          <w:szCs w:val="28"/>
          <w:lang w:val="zh-CN"/>
        </w:rPr>
        <w:t>，具体公式为：</w:t>
      </w:r>
    </w:p>
    <w:p w14:paraId="702C8265">
      <w:pPr>
        <w:autoSpaceDE w:val="0"/>
        <w:autoSpaceDN w:val="0"/>
        <w:spacing w:line="360" w:lineRule="auto"/>
        <w:rPr>
          <w:rFonts w:ascii="华文仿宋" w:hAnsi="华文仿宋" w:eastAsia="华文仿宋"/>
          <w:color w:val="000000"/>
          <w:kern w:val="0"/>
          <w:sz w:val="28"/>
          <w:szCs w:val="28"/>
          <w:lang w:val="zh-CN"/>
        </w:rPr>
      </w:pPr>
      <m:oMathPara>
        <m:oMathParaPr>
          <m:jc m:val="center"/>
        </m:oMathParaPr>
        <m:oMath>
          <m:r>
            <m:rPr/>
            <w:rPr>
              <w:rFonts w:ascii="Cambria Math" w:hAnsi="Cambria Math" w:eastAsia="华文仿宋"/>
              <w:color w:val="000000"/>
              <w:kern w:val="0"/>
              <w:sz w:val="28"/>
              <w:szCs w:val="28"/>
              <w:lang w:val="zh-CN"/>
            </w:rPr>
            <m:t>J=</m:t>
          </m:r>
          <m:nary>
            <m:naryPr>
              <m:chr m:val="∑"/>
              <m:limLoc m:val="subSup"/>
              <m:ctrlPr>
                <w:rPr>
                  <w:rFonts w:ascii="Cambria Math" w:hAnsi="Cambria Math" w:eastAsia="华文仿宋"/>
                  <w:i/>
                  <w:color w:val="000000"/>
                  <w:kern w:val="0"/>
                  <w:sz w:val="28"/>
                  <w:szCs w:val="28"/>
                  <w:lang w:val="zh-CN"/>
                </w:rPr>
              </m:ctrlPr>
            </m:naryPr>
            <m:sub>
              <m:r>
                <m:rPr/>
                <w:rPr>
                  <w:rFonts w:ascii="Cambria Math" w:hAnsi="Cambria Math" w:eastAsia="华文仿宋"/>
                  <w:color w:val="000000"/>
                  <w:kern w:val="0"/>
                  <w:sz w:val="28"/>
                  <w:szCs w:val="28"/>
                  <w:lang w:val="zh-CN"/>
                </w:rPr>
                <m:t>i</m:t>
              </m:r>
              <m:ctrlPr>
                <w:rPr>
                  <w:rFonts w:ascii="Cambria Math" w:hAnsi="Cambria Math" w:eastAsia="华文仿宋"/>
                  <w:i/>
                  <w:color w:val="000000"/>
                  <w:kern w:val="0"/>
                  <w:sz w:val="28"/>
                  <w:szCs w:val="28"/>
                  <w:lang w:val="zh-CN"/>
                </w:rPr>
              </m:ctrlPr>
            </m:sub>
            <m:sup>
              <m:r>
                <m:rPr/>
                <w:rPr>
                  <w:rFonts w:ascii="Cambria Math" w:hAnsi="Cambria Math" w:eastAsia="华文仿宋"/>
                  <w:color w:val="000000"/>
                  <w:kern w:val="0"/>
                  <w:sz w:val="28"/>
                  <w:szCs w:val="28"/>
                  <w:lang w:val="zh-CN"/>
                </w:rPr>
                <m:t>n</m:t>
              </m:r>
              <m:ctrlPr>
                <w:rPr>
                  <w:rFonts w:ascii="Cambria Math" w:hAnsi="Cambria Math" w:eastAsia="华文仿宋"/>
                  <w:i/>
                  <w:color w:val="000000"/>
                  <w:kern w:val="0"/>
                  <w:sz w:val="28"/>
                  <w:szCs w:val="28"/>
                  <w:lang w:val="zh-CN"/>
                </w:rPr>
              </m:ctrlPr>
            </m:sup>
            <m:e>
              <m:sSub>
                <m:sSubPr>
                  <m:ctrlPr>
                    <w:rPr>
                      <w:rFonts w:ascii="Cambria Math" w:hAnsi="Cambria Math" w:eastAsia="华文仿宋"/>
                      <w:i/>
                      <w:color w:val="000000"/>
                      <w:kern w:val="0"/>
                      <w:sz w:val="28"/>
                      <w:szCs w:val="28"/>
                      <w:lang w:val="zh-CN"/>
                    </w:rPr>
                  </m:ctrlPr>
                </m:sSubPr>
                <m:e>
                  <m:r>
                    <m:rPr/>
                    <w:rPr>
                      <w:rFonts w:ascii="Cambria Math" w:hAnsi="Cambria Math" w:eastAsia="华文仿宋"/>
                      <w:color w:val="000000"/>
                      <w:kern w:val="0"/>
                      <w:sz w:val="28"/>
                      <w:szCs w:val="28"/>
                      <w:lang w:val="zh-CN"/>
                    </w:rPr>
                    <m:t>β</m:t>
                  </m:r>
                  <m:ctrlPr>
                    <w:rPr>
                      <w:rFonts w:ascii="Cambria Math" w:hAnsi="Cambria Math" w:eastAsia="华文仿宋"/>
                      <w:i/>
                      <w:color w:val="000000"/>
                      <w:kern w:val="0"/>
                      <w:sz w:val="28"/>
                      <w:szCs w:val="28"/>
                      <w:lang w:val="zh-CN"/>
                    </w:rPr>
                  </m:ctrlPr>
                </m:e>
                <m:sub>
                  <m:r>
                    <m:rPr/>
                    <w:rPr>
                      <w:rFonts w:ascii="Cambria Math" w:hAnsi="Cambria Math" w:eastAsia="华文仿宋"/>
                      <w:color w:val="000000"/>
                      <w:kern w:val="0"/>
                      <w:sz w:val="28"/>
                      <w:szCs w:val="28"/>
                      <w:lang w:val="zh-CN"/>
                    </w:rPr>
                    <m:t>i</m:t>
                  </m:r>
                  <m:ctrlPr>
                    <w:rPr>
                      <w:rFonts w:ascii="Cambria Math" w:hAnsi="Cambria Math" w:eastAsia="华文仿宋"/>
                      <w:i/>
                      <w:color w:val="000000"/>
                      <w:kern w:val="0"/>
                      <w:sz w:val="28"/>
                      <w:szCs w:val="28"/>
                      <w:lang w:val="zh-CN"/>
                    </w:rPr>
                  </m:ctrlPr>
                </m:sub>
              </m:sSub>
              <m:sSub>
                <m:sSubPr>
                  <m:ctrlPr>
                    <w:rPr>
                      <w:rFonts w:ascii="Cambria Math" w:hAnsi="Cambria Math" w:eastAsia="华文仿宋"/>
                      <w:i/>
                      <w:color w:val="000000"/>
                      <w:kern w:val="0"/>
                      <w:sz w:val="28"/>
                      <w:szCs w:val="28"/>
                      <w:lang w:val="zh-CN"/>
                    </w:rPr>
                  </m:ctrlPr>
                </m:sSubPr>
                <m:e>
                  <m:r>
                    <m:rPr/>
                    <w:rPr>
                      <w:rFonts w:ascii="Cambria Math" w:hAnsi="Cambria Math" w:eastAsia="华文仿宋"/>
                      <w:color w:val="000000"/>
                      <w:kern w:val="0"/>
                      <w:sz w:val="28"/>
                      <w:szCs w:val="28"/>
                      <w:lang w:val="zh-CN"/>
                    </w:rPr>
                    <m:t>L</m:t>
                  </m:r>
                  <m:ctrlPr>
                    <w:rPr>
                      <w:rFonts w:ascii="Cambria Math" w:hAnsi="Cambria Math" w:eastAsia="华文仿宋"/>
                      <w:i/>
                      <w:color w:val="000000"/>
                      <w:kern w:val="0"/>
                      <w:sz w:val="28"/>
                      <w:szCs w:val="28"/>
                      <w:lang w:val="zh-CN"/>
                    </w:rPr>
                  </m:ctrlPr>
                </m:e>
                <m:sub>
                  <m:r>
                    <m:rPr/>
                    <w:rPr>
                      <w:rFonts w:ascii="Cambria Math" w:hAnsi="Cambria Math" w:eastAsia="华文仿宋"/>
                      <w:color w:val="000000"/>
                      <w:kern w:val="0"/>
                      <w:sz w:val="28"/>
                      <w:szCs w:val="28"/>
                      <w:lang w:val="zh-CN"/>
                    </w:rPr>
                    <m:t>i</m:t>
                  </m:r>
                  <m:ctrlPr>
                    <w:rPr>
                      <w:rFonts w:ascii="Cambria Math" w:hAnsi="Cambria Math" w:eastAsia="华文仿宋"/>
                      <w:i/>
                      <w:color w:val="000000"/>
                      <w:kern w:val="0"/>
                      <w:sz w:val="28"/>
                      <w:szCs w:val="28"/>
                      <w:lang w:val="zh-CN"/>
                    </w:rPr>
                  </m:ctrlPr>
                </m:sub>
              </m:sSub>
              <m:ctrlPr>
                <w:rPr>
                  <w:rFonts w:ascii="Cambria Math" w:hAnsi="Cambria Math" w:eastAsia="华文仿宋"/>
                  <w:i/>
                  <w:color w:val="000000"/>
                  <w:kern w:val="0"/>
                  <w:sz w:val="28"/>
                  <w:szCs w:val="28"/>
                  <w:lang w:val="zh-CN"/>
                </w:rPr>
              </m:ctrlPr>
            </m:e>
          </m:nary>
          <m:r>
            <m:rPr/>
            <w:rPr>
              <w:rFonts w:ascii="Cambria Math" w:hAnsi="Cambria Math" w:eastAsia="华文仿宋"/>
              <w:color w:val="000000"/>
              <w:kern w:val="0"/>
              <w:sz w:val="28"/>
              <w:szCs w:val="28"/>
              <w:lang w:val="zh-CN"/>
            </w:rPr>
            <m:t>/</m:t>
          </m:r>
          <m:nary>
            <m:naryPr>
              <m:chr m:val="∑"/>
              <m:limLoc m:val="subSup"/>
              <m:ctrlPr>
                <w:rPr>
                  <w:rFonts w:ascii="Cambria Math" w:hAnsi="Cambria Math" w:eastAsia="华文仿宋"/>
                  <w:i/>
                  <w:color w:val="000000"/>
                  <w:kern w:val="0"/>
                  <w:sz w:val="28"/>
                  <w:szCs w:val="28"/>
                  <w:lang w:val="zh-CN"/>
                </w:rPr>
              </m:ctrlPr>
            </m:naryPr>
            <m:sub>
              <m:r>
                <m:rPr/>
                <w:rPr>
                  <w:rFonts w:ascii="Cambria Math" w:hAnsi="Cambria Math" w:eastAsia="华文仿宋"/>
                  <w:color w:val="000000"/>
                  <w:kern w:val="0"/>
                  <w:sz w:val="28"/>
                  <w:szCs w:val="28"/>
                  <w:lang w:val="zh-CN"/>
                </w:rPr>
                <m:t>i</m:t>
              </m:r>
              <m:ctrlPr>
                <w:rPr>
                  <w:rFonts w:ascii="Cambria Math" w:hAnsi="Cambria Math" w:eastAsia="华文仿宋"/>
                  <w:i/>
                  <w:color w:val="000000"/>
                  <w:kern w:val="0"/>
                  <w:sz w:val="28"/>
                  <w:szCs w:val="28"/>
                  <w:lang w:val="zh-CN"/>
                </w:rPr>
              </m:ctrlPr>
            </m:sub>
            <m:sup>
              <m:r>
                <m:rPr/>
                <w:rPr>
                  <w:rFonts w:ascii="Cambria Math" w:hAnsi="Cambria Math" w:eastAsia="华文仿宋"/>
                  <w:color w:val="000000"/>
                  <w:kern w:val="0"/>
                  <w:sz w:val="28"/>
                  <w:szCs w:val="28"/>
                  <w:lang w:val="zh-CN"/>
                </w:rPr>
                <m:t>n</m:t>
              </m:r>
              <m:ctrlPr>
                <w:rPr>
                  <w:rFonts w:ascii="Cambria Math" w:hAnsi="Cambria Math" w:eastAsia="华文仿宋"/>
                  <w:i/>
                  <w:color w:val="000000"/>
                  <w:kern w:val="0"/>
                  <w:sz w:val="28"/>
                  <w:szCs w:val="28"/>
                  <w:lang w:val="zh-CN"/>
                </w:rPr>
              </m:ctrlPr>
            </m:sup>
            <m:e>
              <m:sSub>
                <m:sSubPr>
                  <m:ctrlPr>
                    <w:rPr>
                      <w:rFonts w:ascii="Cambria Math" w:hAnsi="Cambria Math" w:eastAsia="华文仿宋"/>
                      <w:i/>
                      <w:color w:val="000000"/>
                      <w:kern w:val="0"/>
                      <w:sz w:val="28"/>
                      <w:szCs w:val="28"/>
                      <w:lang w:val="zh-CN"/>
                    </w:rPr>
                  </m:ctrlPr>
                </m:sSubPr>
                <m:e>
                  <m:r>
                    <m:rPr/>
                    <w:rPr>
                      <w:rFonts w:ascii="Cambria Math" w:hAnsi="Cambria Math" w:eastAsia="华文仿宋"/>
                      <w:color w:val="000000"/>
                      <w:kern w:val="0"/>
                      <w:sz w:val="28"/>
                      <w:szCs w:val="28"/>
                      <w:lang w:val="zh-CN"/>
                    </w:rPr>
                    <m:t>L</m:t>
                  </m:r>
                  <m:ctrlPr>
                    <w:rPr>
                      <w:rFonts w:ascii="Cambria Math" w:hAnsi="Cambria Math" w:eastAsia="华文仿宋"/>
                      <w:i/>
                      <w:color w:val="000000"/>
                      <w:kern w:val="0"/>
                      <w:sz w:val="28"/>
                      <w:szCs w:val="28"/>
                      <w:lang w:val="zh-CN"/>
                    </w:rPr>
                  </m:ctrlPr>
                </m:e>
                <m:sub>
                  <m:r>
                    <m:rPr/>
                    <w:rPr>
                      <w:rFonts w:ascii="Cambria Math" w:hAnsi="Cambria Math" w:eastAsia="华文仿宋"/>
                      <w:color w:val="000000"/>
                      <w:kern w:val="0"/>
                      <w:sz w:val="28"/>
                      <w:szCs w:val="28"/>
                      <w:lang w:val="zh-CN"/>
                    </w:rPr>
                    <m:t>i</m:t>
                  </m:r>
                  <m:ctrlPr>
                    <w:rPr>
                      <w:rFonts w:ascii="Cambria Math" w:hAnsi="Cambria Math" w:eastAsia="华文仿宋"/>
                      <w:i/>
                      <w:color w:val="000000"/>
                      <w:kern w:val="0"/>
                      <w:sz w:val="28"/>
                      <w:szCs w:val="28"/>
                      <w:lang w:val="zh-CN"/>
                    </w:rPr>
                  </m:ctrlPr>
                </m:sub>
              </m:sSub>
              <m:ctrlPr>
                <w:rPr>
                  <w:rFonts w:ascii="Cambria Math" w:hAnsi="Cambria Math" w:eastAsia="华文仿宋"/>
                  <w:i/>
                  <w:color w:val="000000"/>
                  <w:kern w:val="0"/>
                  <w:sz w:val="28"/>
                  <w:szCs w:val="28"/>
                  <w:lang w:val="zh-CN"/>
                </w:rPr>
              </m:ctrlPr>
            </m:e>
          </m:nary>
        </m:oMath>
      </m:oMathPara>
    </w:p>
    <w:p w14:paraId="5A711CC1">
      <w:pPr>
        <w:autoSpaceDE w:val="0"/>
        <w:autoSpaceDN w:val="0"/>
        <w:spacing w:line="360" w:lineRule="auto"/>
        <w:rPr>
          <w:rFonts w:ascii="华文仿宋" w:hAnsi="华文仿宋" w:eastAsia="华文仿宋"/>
          <w:color w:val="000000"/>
          <w:kern w:val="0"/>
          <w:sz w:val="28"/>
          <w:szCs w:val="28"/>
          <w:lang w:val="zh-CN"/>
        </w:rPr>
      </w:pPr>
      <w:r>
        <w:rPr>
          <w:rFonts w:ascii="华文仿宋" w:hAnsi="华文仿宋" w:eastAsia="华文仿宋"/>
          <w:color w:val="000000"/>
          <w:kern w:val="0"/>
          <w:sz w:val="28"/>
          <w:szCs w:val="28"/>
          <w:lang w:val="zh-CN"/>
        </w:rPr>
        <w:t>式中：</w:t>
      </w:r>
      <w:r>
        <w:rPr>
          <w:rFonts w:ascii="华文仿宋" w:hAnsi="华文仿宋" w:eastAsia="华文仿宋"/>
          <w:i/>
          <w:iCs/>
          <w:color w:val="000000"/>
          <w:kern w:val="0"/>
          <w:sz w:val="28"/>
          <w:szCs w:val="28"/>
          <w:lang w:val="zh-CN"/>
        </w:rPr>
        <w:t>J</w:t>
      </w:r>
      <w:r>
        <w:rPr>
          <w:rFonts w:ascii="华文仿宋" w:hAnsi="华文仿宋" w:eastAsia="华文仿宋"/>
          <w:color w:val="000000"/>
          <w:kern w:val="0"/>
          <w:sz w:val="28"/>
          <w:szCs w:val="28"/>
          <w:lang w:val="zh-CN"/>
        </w:rPr>
        <w:t>—运网等级水平指数</w:t>
      </w:r>
      <w:r>
        <w:rPr>
          <w:rFonts w:hint="eastAsia" w:ascii="华文仿宋" w:hAnsi="华文仿宋" w:eastAsia="华文仿宋"/>
          <w:color w:val="000000"/>
          <w:kern w:val="0"/>
          <w:sz w:val="28"/>
          <w:szCs w:val="28"/>
          <w:lang w:val="zh-CN"/>
        </w:rPr>
        <w:t>；</w:t>
      </w:r>
      <w:r>
        <w:rPr>
          <w:rFonts w:hint="eastAsia" w:ascii="华文仿宋" w:hAnsi="华文仿宋" w:eastAsia="华文仿宋"/>
          <w:i/>
          <w:iCs/>
          <w:color w:val="000000"/>
          <w:kern w:val="0"/>
          <w:sz w:val="28"/>
          <w:szCs w:val="28"/>
          <w:lang w:val="zh-CN"/>
        </w:rPr>
        <w:t>L</w:t>
      </w:r>
      <w:r>
        <w:rPr>
          <w:rFonts w:ascii="华文仿宋" w:hAnsi="华文仿宋" w:eastAsia="华文仿宋"/>
          <w:color w:val="000000"/>
          <w:kern w:val="0"/>
          <w:sz w:val="28"/>
          <w:szCs w:val="28"/>
          <w:lang w:val="zh-CN"/>
        </w:rPr>
        <w:t>——第</w:t>
      </w:r>
      <w:r>
        <w:rPr>
          <w:rFonts w:hint="eastAsia" w:ascii="华文仿宋" w:hAnsi="华文仿宋" w:eastAsia="华文仿宋"/>
          <w:color w:val="000000"/>
          <w:kern w:val="0"/>
          <w:sz w:val="28"/>
          <w:szCs w:val="28"/>
          <w:lang w:val="zh-CN"/>
        </w:rPr>
        <w:t>i</w:t>
      </w:r>
      <w:r>
        <w:rPr>
          <w:rFonts w:ascii="华文仿宋" w:hAnsi="华文仿宋" w:eastAsia="华文仿宋"/>
          <w:color w:val="000000"/>
          <w:kern w:val="0"/>
          <w:sz w:val="28"/>
          <w:szCs w:val="28"/>
          <w:lang w:val="zh-CN"/>
        </w:rPr>
        <w:t>等级的线路总长</w:t>
      </w:r>
      <w:r>
        <w:rPr>
          <w:rFonts w:hint="eastAsia" w:ascii="华文仿宋" w:hAnsi="华文仿宋" w:eastAsia="华文仿宋"/>
          <w:color w:val="000000"/>
          <w:kern w:val="0"/>
          <w:sz w:val="28"/>
          <w:szCs w:val="28"/>
          <w:lang w:val="zh-CN"/>
        </w:rPr>
        <w:t>；</w:t>
      </w:r>
      <m:oMath>
        <m:r>
          <m:rPr/>
          <w:rPr>
            <w:rFonts w:ascii="Cambria Math" w:hAnsi="Cambria Math" w:eastAsia="华文仿宋"/>
            <w:color w:val="000000"/>
            <w:kern w:val="0"/>
            <w:sz w:val="28"/>
            <w:szCs w:val="28"/>
            <w:lang w:val="zh-CN"/>
          </w:rPr>
          <m:t>β</m:t>
        </m:r>
      </m:oMath>
      <w:r>
        <w:rPr>
          <w:rFonts w:ascii="华文仿宋" w:hAnsi="华文仿宋" w:eastAsia="华文仿宋"/>
          <w:color w:val="000000"/>
          <w:kern w:val="0"/>
          <w:sz w:val="28"/>
          <w:szCs w:val="28"/>
          <w:lang w:val="zh-CN"/>
        </w:rPr>
        <w:t xml:space="preserve">——路网技术等级， </w:t>
      </w:r>
      <m:oMath>
        <m:r>
          <m:rPr/>
          <w:rPr>
            <w:rFonts w:ascii="Cambria Math" w:hAnsi="Cambria Math" w:eastAsia="华文仿宋"/>
            <w:color w:val="000000"/>
            <w:kern w:val="0"/>
            <w:sz w:val="28"/>
            <w:szCs w:val="28"/>
            <w:lang w:val="zh-CN"/>
          </w:rPr>
          <m:t>β</m:t>
        </m:r>
      </m:oMath>
      <w:r>
        <w:rPr>
          <w:rFonts w:ascii="华文仿宋" w:hAnsi="华文仿宋" w:eastAsia="华文仿宋"/>
          <w:color w:val="000000"/>
          <w:kern w:val="0"/>
          <w:sz w:val="28"/>
          <w:szCs w:val="28"/>
          <w:lang w:val="zh-CN"/>
        </w:rPr>
        <w:t xml:space="preserve"> =（1，2，3，4，5，6）=（高速，一级，二级，三级，四级，等外级）</w:t>
      </w:r>
      <w:r>
        <w:rPr>
          <w:rFonts w:hint="eastAsia" w:ascii="华文仿宋" w:hAnsi="华文仿宋" w:eastAsia="华文仿宋"/>
          <w:color w:val="000000"/>
          <w:kern w:val="0"/>
          <w:sz w:val="28"/>
          <w:szCs w:val="28"/>
          <w:lang w:val="zh-CN"/>
        </w:rPr>
        <w:t>,考虑到数据的可获取性，本研究只取高速、一级和二级</w:t>
      </w:r>
      <w:r>
        <w:rPr>
          <w:rFonts w:ascii="华文仿宋" w:hAnsi="华文仿宋" w:eastAsia="华文仿宋"/>
          <w:color w:val="000000"/>
          <w:kern w:val="0"/>
          <w:sz w:val="28"/>
          <w:szCs w:val="28"/>
          <w:lang w:val="zh-CN"/>
        </w:rPr>
        <w:t>。</w:t>
      </w:r>
    </w:p>
    <w:p w14:paraId="33517334">
      <w:pPr>
        <w:spacing w:line="360" w:lineRule="auto"/>
        <w:rPr>
          <w:rFonts w:ascii="华文仿宋" w:hAnsi="华文仿宋" w:eastAsia="华文仿宋"/>
          <w:b/>
          <w:bCs/>
          <w:color w:val="000000"/>
          <w:sz w:val="28"/>
          <w:szCs w:val="28"/>
        </w:rPr>
      </w:pPr>
      <w:r>
        <w:rPr>
          <w:rFonts w:hint="eastAsia" w:ascii="华文仿宋" w:hAnsi="华文仿宋" w:eastAsia="华文仿宋"/>
          <w:b/>
          <w:bCs/>
          <w:color w:val="000000"/>
          <w:sz w:val="28"/>
          <w:szCs w:val="28"/>
        </w:rPr>
        <w:t>3）交通投资协调指数</w:t>
      </w:r>
    </w:p>
    <w:p w14:paraId="30DD3D2F">
      <w:pPr>
        <w:autoSpaceDE w:val="0"/>
        <w:autoSpaceDN w:val="0"/>
        <w:spacing w:line="360" w:lineRule="auto"/>
        <w:ind w:firstLine="600"/>
        <w:rPr>
          <w:rFonts w:ascii="华文仿宋" w:hAnsi="华文仿宋" w:eastAsia="华文仿宋"/>
          <w:color w:val="000000"/>
          <w:kern w:val="0"/>
          <w:sz w:val="28"/>
          <w:szCs w:val="28"/>
          <w:lang w:val="zh-CN"/>
        </w:rPr>
      </w:pPr>
      <w:r>
        <w:rPr>
          <w:rFonts w:ascii="华文仿宋" w:hAnsi="华文仿宋" w:eastAsia="华文仿宋"/>
          <w:color w:val="000000"/>
          <w:kern w:val="0"/>
          <w:sz w:val="28"/>
          <w:szCs w:val="28"/>
          <w:lang w:val="zh-CN"/>
        </w:rPr>
        <w:t>该指标反映的是区域交通投资的增长同该区域国民生产总值增长的协调性，其计算公式为：</w:t>
      </w:r>
    </w:p>
    <w:p w14:paraId="69947686">
      <w:pPr>
        <w:spacing w:line="360" w:lineRule="auto"/>
        <w:jc w:val="center"/>
        <w:rPr>
          <w:rFonts w:ascii="华文仿宋" w:hAnsi="华文仿宋" w:eastAsia="华文仿宋"/>
          <w:color w:val="000000"/>
          <w:kern w:val="0"/>
          <w:sz w:val="28"/>
          <w:szCs w:val="28"/>
          <w:lang w:val="zh-CN"/>
        </w:rPr>
      </w:pPr>
      <w:r>
        <w:rPr>
          <w:rFonts w:ascii="华文仿宋" w:hAnsi="华文仿宋" w:eastAsia="华文仿宋"/>
          <w:color w:val="000000"/>
          <w:kern w:val="0"/>
          <w:sz w:val="28"/>
          <w:szCs w:val="28"/>
          <w:lang w:val="zh-CN"/>
        </w:rPr>
        <w:t>交通投资协调指数=交通投资年平均增长率/GDP年平均增长率</w:t>
      </w:r>
    </w:p>
    <w:p w14:paraId="3611C634">
      <w:pPr>
        <w:spacing w:line="360" w:lineRule="auto"/>
        <w:ind w:firstLine="480"/>
        <w:rPr>
          <w:rFonts w:ascii="华文仿宋" w:hAnsi="华文仿宋" w:eastAsia="华文仿宋"/>
          <w:b/>
          <w:bCs/>
          <w:sz w:val="28"/>
          <w:szCs w:val="28"/>
        </w:rPr>
      </w:pPr>
      <w:r>
        <w:rPr>
          <w:rFonts w:hint="eastAsia" w:ascii="华文仿宋" w:hAnsi="华文仿宋" w:eastAsia="华文仿宋"/>
          <w:color w:val="000000"/>
          <w:kern w:val="0"/>
          <w:sz w:val="28"/>
          <w:szCs w:val="28"/>
          <w:lang w:val="zh-CN"/>
        </w:rPr>
        <w:t>考虑到交通投资对经济增长促进作用的滞后性，这里取现年GDP的</w:t>
      </w:r>
      <w:r>
        <w:rPr>
          <w:rFonts w:ascii="华文仿宋" w:hAnsi="华文仿宋" w:eastAsia="华文仿宋"/>
          <w:color w:val="000000"/>
          <w:kern w:val="0"/>
          <w:sz w:val="28"/>
          <w:szCs w:val="28"/>
          <w:lang w:val="zh-CN"/>
        </w:rPr>
        <w:t>3</w:t>
      </w:r>
      <w:r>
        <w:rPr>
          <w:rFonts w:hint="eastAsia" w:ascii="华文仿宋" w:hAnsi="华文仿宋" w:eastAsia="华文仿宋"/>
          <w:color w:val="000000"/>
          <w:kern w:val="0"/>
          <w:sz w:val="28"/>
          <w:szCs w:val="28"/>
          <w:lang w:val="zh-CN"/>
        </w:rPr>
        <w:t>年平均增长率与五年前的交通固定资产投资3年平均增长率进行计算。</w:t>
      </w:r>
    </w:p>
    <w:p w14:paraId="7F16F1FC">
      <w:pPr>
        <w:spacing w:line="360" w:lineRule="auto"/>
        <w:rPr>
          <w:rFonts w:ascii="华文仿宋" w:hAnsi="华文仿宋" w:eastAsia="华文仿宋"/>
          <w:b/>
          <w:bCs/>
          <w:color w:val="000000"/>
          <w:sz w:val="28"/>
          <w:szCs w:val="28"/>
        </w:rPr>
      </w:pPr>
      <w:r>
        <w:rPr>
          <w:rFonts w:hint="eastAsia" w:ascii="华文仿宋" w:hAnsi="华文仿宋" w:eastAsia="华文仿宋"/>
          <w:b/>
          <w:bCs/>
          <w:color w:val="000000"/>
          <w:sz w:val="28"/>
          <w:szCs w:val="28"/>
        </w:rPr>
        <w:t>（2）综合运输能力适应性</w:t>
      </w:r>
    </w:p>
    <w:p w14:paraId="6CFE4715">
      <w:pPr>
        <w:spacing w:line="360" w:lineRule="auto"/>
        <w:rPr>
          <w:rFonts w:ascii="华文仿宋" w:hAnsi="华文仿宋" w:eastAsia="华文仿宋"/>
          <w:b/>
          <w:bCs/>
          <w:color w:val="000000"/>
          <w:sz w:val="28"/>
          <w:szCs w:val="28"/>
        </w:rPr>
      </w:pPr>
      <w:r>
        <w:rPr>
          <w:rFonts w:hint="eastAsia" w:ascii="华文仿宋" w:hAnsi="华文仿宋" w:eastAsia="华文仿宋"/>
          <w:b/>
          <w:bCs/>
          <w:color w:val="000000"/>
          <w:sz w:val="28"/>
          <w:szCs w:val="28"/>
        </w:rPr>
        <w:t>1）客运强度</w:t>
      </w:r>
    </w:p>
    <w:p w14:paraId="59638689">
      <w:pPr>
        <w:spacing w:line="360" w:lineRule="auto"/>
        <w:ind w:firstLine="480"/>
        <w:rPr>
          <w:rFonts w:ascii="华文仿宋" w:hAnsi="华文仿宋" w:eastAsia="华文仿宋"/>
          <w:sz w:val="28"/>
          <w:szCs w:val="28"/>
        </w:rPr>
      </w:pPr>
      <w:r>
        <w:rPr>
          <w:rFonts w:hint="eastAsia" w:ascii="华文仿宋" w:hAnsi="华文仿宋" w:eastAsia="华文仿宋"/>
          <w:sz w:val="28"/>
          <w:szCs w:val="28"/>
        </w:rPr>
        <w:t>客运强度指标衡量</w:t>
      </w:r>
      <w:r>
        <w:rPr>
          <w:rFonts w:ascii="华文仿宋" w:hAnsi="华文仿宋" w:eastAsia="华文仿宋"/>
          <w:sz w:val="28"/>
          <w:szCs w:val="28"/>
        </w:rPr>
        <w:t>单位长度线路上每日的载客量，在一定程度上体现</w:t>
      </w:r>
      <w:r>
        <w:rPr>
          <w:rFonts w:hint="eastAsia" w:ascii="华文仿宋" w:hAnsi="华文仿宋" w:eastAsia="华文仿宋"/>
          <w:sz w:val="28"/>
          <w:szCs w:val="28"/>
        </w:rPr>
        <w:t>交通运网</w:t>
      </w:r>
      <w:r>
        <w:rPr>
          <w:rFonts w:ascii="华文仿宋" w:hAnsi="华文仿宋" w:eastAsia="华文仿宋"/>
          <w:sz w:val="28"/>
          <w:szCs w:val="28"/>
        </w:rPr>
        <w:t>的</w:t>
      </w:r>
      <w:r>
        <w:rPr>
          <w:rFonts w:hint="eastAsia" w:ascii="华文仿宋" w:hAnsi="华文仿宋" w:eastAsia="华文仿宋"/>
          <w:sz w:val="28"/>
          <w:szCs w:val="28"/>
        </w:rPr>
        <w:t>客运</w:t>
      </w:r>
      <w:r>
        <w:rPr>
          <w:rFonts w:ascii="华文仿宋" w:hAnsi="华文仿宋" w:eastAsia="华文仿宋"/>
          <w:sz w:val="28"/>
          <w:szCs w:val="28"/>
        </w:rPr>
        <w:t>运营效率</w:t>
      </w:r>
      <w:r>
        <w:rPr>
          <w:rFonts w:hint="eastAsia" w:ascii="华文仿宋" w:hAnsi="华文仿宋" w:eastAsia="华文仿宋"/>
          <w:sz w:val="28"/>
          <w:szCs w:val="28"/>
        </w:rPr>
        <w:t>，其计算公式为：</w:t>
      </w:r>
    </w:p>
    <w:p w14:paraId="02B71455">
      <w:pPr>
        <w:spacing w:line="360" w:lineRule="auto"/>
        <w:jc w:val="center"/>
        <w:rPr>
          <w:rFonts w:ascii="华文仿宋" w:hAnsi="华文仿宋" w:eastAsia="华文仿宋"/>
          <w:sz w:val="28"/>
          <w:szCs w:val="28"/>
        </w:rPr>
      </w:pPr>
      <w:r>
        <w:rPr>
          <w:rFonts w:hint="eastAsia" w:ascii="华文仿宋" w:hAnsi="华文仿宋" w:eastAsia="华文仿宋"/>
          <w:sz w:val="28"/>
          <w:szCs w:val="28"/>
        </w:rPr>
        <w:t>客运强度=客运量/</w:t>
      </w:r>
      <w:r>
        <w:rPr>
          <w:rFonts w:ascii="华文仿宋" w:hAnsi="华文仿宋" w:eastAsia="华文仿宋"/>
          <w:sz w:val="28"/>
          <w:szCs w:val="28"/>
        </w:rPr>
        <w:t>(</w:t>
      </w:r>
      <w:r>
        <w:rPr>
          <w:rFonts w:hint="eastAsia" w:ascii="华文仿宋" w:hAnsi="华文仿宋" w:eastAsia="华文仿宋"/>
          <w:sz w:val="28"/>
          <w:szCs w:val="28"/>
        </w:rPr>
        <w:t>铁路营业里程+公路里程+内河航道里程)/</w:t>
      </w:r>
      <w:r>
        <w:rPr>
          <w:rFonts w:ascii="华文仿宋" w:hAnsi="华文仿宋" w:eastAsia="华文仿宋"/>
          <w:sz w:val="28"/>
          <w:szCs w:val="28"/>
        </w:rPr>
        <w:t>365</w:t>
      </w:r>
    </w:p>
    <w:p w14:paraId="20B6425B">
      <w:pPr>
        <w:spacing w:line="360" w:lineRule="auto"/>
        <w:rPr>
          <w:rFonts w:ascii="华文仿宋" w:hAnsi="华文仿宋" w:eastAsia="华文仿宋"/>
          <w:b/>
          <w:bCs/>
          <w:color w:val="000000"/>
          <w:sz w:val="28"/>
          <w:szCs w:val="28"/>
        </w:rPr>
      </w:pPr>
      <w:r>
        <w:rPr>
          <w:rFonts w:hint="eastAsia" w:ascii="华文仿宋" w:hAnsi="华文仿宋" w:eastAsia="华文仿宋"/>
          <w:b/>
          <w:bCs/>
          <w:color w:val="000000"/>
          <w:sz w:val="28"/>
          <w:szCs w:val="28"/>
        </w:rPr>
        <w:t>2）货运强度</w:t>
      </w:r>
    </w:p>
    <w:p w14:paraId="4FED8921">
      <w:pPr>
        <w:spacing w:line="360" w:lineRule="auto"/>
        <w:ind w:firstLine="480"/>
        <w:rPr>
          <w:rFonts w:ascii="华文仿宋" w:hAnsi="华文仿宋" w:eastAsia="华文仿宋"/>
          <w:sz w:val="28"/>
          <w:szCs w:val="28"/>
        </w:rPr>
      </w:pPr>
      <w:r>
        <w:rPr>
          <w:rFonts w:hint="eastAsia" w:ascii="华文仿宋" w:hAnsi="华文仿宋" w:eastAsia="华文仿宋"/>
          <w:sz w:val="28"/>
          <w:szCs w:val="28"/>
        </w:rPr>
        <w:t>货运强度指标衡量</w:t>
      </w:r>
      <w:r>
        <w:rPr>
          <w:rFonts w:ascii="华文仿宋" w:hAnsi="华文仿宋" w:eastAsia="华文仿宋"/>
          <w:sz w:val="28"/>
          <w:szCs w:val="28"/>
        </w:rPr>
        <w:t>单位长度线路上每日的</w:t>
      </w:r>
      <w:r>
        <w:rPr>
          <w:rFonts w:hint="eastAsia" w:ascii="华文仿宋" w:hAnsi="华文仿宋" w:eastAsia="华文仿宋"/>
          <w:sz w:val="28"/>
          <w:szCs w:val="28"/>
        </w:rPr>
        <w:t>货运量</w:t>
      </w:r>
      <w:r>
        <w:rPr>
          <w:rFonts w:ascii="华文仿宋" w:hAnsi="华文仿宋" w:eastAsia="华文仿宋"/>
          <w:sz w:val="28"/>
          <w:szCs w:val="28"/>
        </w:rPr>
        <w:t>，在一定程度上体现</w:t>
      </w:r>
      <w:r>
        <w:rPr>
          <w:rFonts w:hint="eastAsia" w:ascii="华文仿宋" w:hAnsi="华文仿宋" w:eastAsia="华文仿宋"/>
          <w:sz w:val="28"/>
          <w:szCs w:val="28"/>
        </w:rPr>
        <w:t>交通运网</w:t>
      </w:r>
      <w:r>
        <w:rPr>
          <w:rFonts w:ascii="华文仿宋" w:hAnsi="华文仿宋" w:eastAsia="华文仿宋"/>
          <w:sz w:val="28"/>
          <w:szCs w:val="28"/>
        </w:rPr>
        <w:t>的</w:t>
      </w:r>
      <w:r>
        <w:rPr>
          <w:rFonts w:hint="eastAsia" w:ascii="华文仿宋" w:hAnsi="华文仿宋" w:eastAsia="华文仿宋"/>
          <w:sz w:val="28"/>
          <w:szCs w:val="28"/>
        </w:rPr>
        <w:t>货运</w:t>
      </w:r>
      <w:r>
        <w:rPr>
          <w:rFonts w:ascii="华文仿宋" w:hAnsi="华文仿宋" w:eastAsia="华文仿宋"/>
          <w:sz w:val="28"/>
          <w:szCs w:val="28"/>
        </w:rPr>
        <w:t>运营效率</w:t>
      </w:r>
      <w:r>
        <w:rPr>
          <w:rFonts w:hint="eastAsia" w:ascii="华文仿宋" w:hAnsi="华文仿宋" w:eastAsia="华文仿宋"/>
          <w:sz w:val="28"/>
          <w:szCs w:val="28"/>
        </w:rPr>
        <w:t>，其计算公式为：</w:t>
      </w:r>
    </w:p>
    <w:p w14:paraId="5F3D7830">
      <w:pPr>
        <w:spacing w:line="360" w:lineRule="auto"/>
        <w:jc w:val="center"/>
        <w:rPr>
          <w:rFonts w:ascii="华文仿宋" w:hAnsi="华文仿宋" w:eastAsia="华文仿宋"/>
          <w:sz w:val="28"/>
          <w:szCs w:val="28"/>
        </w:rPr>
      </w:pPr>
      <w:r>
        <w:rPr>
          <w:rFonts w:hint="eastAsia" w:ascii="华文仿宋" w:hAnsi="华文仿宋" w:eastAsia="华文仿宋"/>
          <w:sz w:val="28"/>
          <w:szCs w:val="28"/>
        </w:rPr>
        <w:t>货运强度=货运量/</w:t>
      </w:r>
      <w:r>
        <w:rPr>
          <w:rFonts w:ascii="华文仿宋" w:hAnsi="华文仿宋" w:eastAsia="华文仿宋"/>
          <w:sz w:val="28"/>
          <w:szCs w:val="28"/>
        </w:rPr>
        <w:t>(</w:t>
      </w:r>
      <w:r>
        <w:rPr>
          <w:rFonts w:hint="eastAsia" w:ascii="华文仿宋" w:hAnsi="华文仿宋" w:eastAsia="华文仿宋"/>
          <w:sz w:val="28"/>
          <w:szCs w:val="28"/>
        </w:rPr>
        <w:t>铁路营业里程+公路里程+内河航道里程)/</w:t>
      </w:r>
      <w:r>
        <w:rPr>
          <w:rFonts w:ascii="华文仿宋" w:hAnsi="华文仿宋" w:eastAsia="华文仿宋"/>
          <w:sz w:val="28"/>
          <w:szCs w:val="28"/>
        </w:rPr>
        <w:t>365</w:t>
      </w:r>
    </w:p>
    <w:p w14:paraId="6679D76A">
      <w:pPr>
        <w:spacing w:line="360" w:lineRule="auto"/>
        <w:rPr>
          <w:rFonts w:ascii="华文仿宋" w:hAnsi="华文仿宋" w:eastAsia="华文仿宋"/>
          <w:b/>
          <w:bCs/>
          <w:color w:val="000000"/>
          <w:sz w:val="28"/>
          <w:szCs w:val="28"/>
        </w:rPr>
      </w:pPr>
      <w:r>
        <w:rPr>
          <w:rFonts w:hint="eastAsia" w:ascii="华文仿宋" w:hAnsi="华文仿宋" w:eastAsia="华文仿宋"/>
          <w:b/>
          <w:bCs/>
          <w:color w:val="000000"/>
          <w:sz w:val="28"/>
          <w:szCs w:val="28"/>
        </w:rPr>
        <w:t>2、运输结构</w:t>
      </w:r>
    </w:p>
    <w:p w14:paraId="0A8CB7A9">
      <w:pPr>
        <w:spacing w:line="360" w:lineRule="auto"/>
        <w:rPr>
          <w:rFonts w:ascii="华文仿宋" w:hAnsi="华文仿宋" w:eastAsia="华文仿宋"/>
          <w:b/>
          <w:bCs/>
          <w:sz w:val="28"/>
          <w:szCs w:val="28"/>
        </w:rPr>
      </w:pPr>
      <w:r>
        <w:rPr>
          <w:rFonts w:hint="eastAsia" w:ascii="华文仿宋" w:hAnsi="华文仿宋" w:eastAsia="华文仿宋"/>
          <w:b/>
          <w:bCs/>
          <w:sz w:val="28"/>
          <w:szCs w:val="28"/>
        </w:rPr>
        <w:t>（1）与产业结构的协调性</w:t>
      </w:r>
    </w:p>
    <w:p w14:paraId="78EAB0B3">
      <w:pPr>
        <w:spacing w:line="360" w:lineRule="auto"/>
        <w:ind w:firstLine="480"/>
        <w:rPr>
          <w:rFonts w:ascii="华文仿宋" w:hAnsi="华文仿宋" w:eastAsia="华文仿宋"/>
          <w:sz w:val="28"/>
          <w:szCs w:val="28"/>
        </w:rPr>
      </w:pPr>
      <w:r>
        <w:rPr>
          <w:rFonts w:hint="eastAsia" w:ascii="华文仿宋" w:hAnsi="华文仿宋" w:eastAsia="华文仿宋"/>
          <w:sz w:val="28"/>
          <w:szCs w:val="28"/>
        </w:rPr>
        <w:t>经济与运量绝对值呈正相关，经济增长会带来运量绝对值的增长，而产业结构则影响交通运输结构的变化。产业结构的阶段性特征，决定了交通基础设施的发展方向，综合运输通道大能力、高速度的技术经济特征是与我国产业结构调整的趋势相适应的。</w:t>
      </w:r>
    </w:p>
    <w:p w14:paraId="4BA04EB0">
      <w:pPr>
        <w:spacing w:line="360" w:lineRule="auto"/>
        <w:rPr>
          <w:rFonts w:ascii="华文仿宋" w:hAnsi="华文仿宋" w:eastAsia="华文仿宋"/>
          <w:b/>
          <w:bCs/>
          <w:sz w:val="28"/>
          <w:szCs w:val="28"/>
        </w:rPr>
      </w:pPr>
      <w:r>
        <w:rPr>
          <w:rFonts w:hint="eastAsia" w:ascii="华文仿宋" w:hAnsi="华文仿宋" w:eastAsia="华文仿宋"/>
          <w:b/>
          <w:bCs/>
          <w:sz w:val="28"/>
          <w:szCs w:val="28"/>
        </w:rPr>
        <w:t>1）货运量与第一、第二产业发展协调指数</w:t>
      </w:r>
    </w:p>
    <w:p w14:paraId="74698001">
      <w:pPr>
        <w:spacing w:line="360" w:lineRule="auto"/>
        <w:ind w:firstLine="480"/>
        <w:rPr>
          <w:rFonts w:ascii="华文仿宋" w:hAnsi="华文仿宋" w:eastAsia="华文仿宋"/>
          <w:sz w:val="28"/>
          <w:szCs w:val="28"/>
        </w:rPr>
      </w:pPr>
      <w:r>
        <w:rPr>
          <w:rFonts w:hint="eastAsia" w:ascii="华文仿宋" w:hAnsi="华文仿宋" w:eastAsia="华文仿宋"/>
          <w:sz w:val="28"/>
          <w:szCs w:val="28"/>
        </w:rPr>
        <w:t>货运量与第一、第二产业发展协调指数衡量货运量与经济发展的协调程度，其计算公式如下：</w:t>
      </w:r>
    </w:p>
    <w:p w14:paraId="79F304A1">
      <w:pPr>
        <w:spacing w:line="360" w:lineRule="auto"/>
        <w:jc w:val="center"/>
        <w:rPr>
          <w:rFonts w:ascii="华文仿宋" w:hAnsi="华文仿宋" w:eastAsia="华文仿宋"/>
          <w:color w:val="000000"/>
          <w:sz w:val="28"/>
          <w:szCs w:val="28"/>
        </w:rPr>
      </w:pPr>
      <w:r>
        <w:rPr>
          <w:rFonts w:hint="eastAsia" w:ascii="华文仿宋" w:hAnsi="华文仿宋" w:eastAsia="华文仿宋"/>
          <w:color w:val="000000"/>
          <w:sz w:val="28"/>
          <w:szCs w:val="28"/>
        </w:rPr>
        <w:t>协调指数=货运量增长率/第一产业加第二产业产值增长率</w:t>
      </w:r>
    </w:p>
    <w:p w14:paraId="6B8311CE">
      <w:pPr>
        <w:spacing w:line="360" w:lineRule="auto"/>
        <w:rPr>
          <w:rFonts w:ascii="华文仿宋" w:hAnsi="华文仿宋" w:eastAsia="华文仿宋"/>
          <w:b/>
          <w:bCs/>
          <w:sz w:val="28"/>
          <w:szCs w:val="28"/>
        </w:rPr>
      </w:pPr>
      <w:r>
        <w:rPr>
          <w:rFonts w:hint="eastAsia" w:ascii="华文仿宋" w:hAnsi="华文仿宋" w:eastAsia="华文仿宋"/>
          <w:b/>
          <w:bCs/>
          <w:sz w:val="28"/>
          <w:szCs w:val="28"/>
        </w:rPr>
        <w:t>2）客运量与第三产业发展协调指数</w:t>
      </w:r>
    </w:p>
    <w:p w14:paraId="45217A36">
      <w:pPr>
        <w:spacing w:line="360" w:lineRule="auto"/>
        <w:ind w:firstLine="480"/>
        <w:rPr>
          <w:rFonts w:ascii="华文仿宋" w:hAnsi="华文仿宋" w:eastAsia="华文仿宋"/>
          <w:sz w:val="28"/>
          <w:szCs w:val="28"/>
        </w:rPr>
      </w:pPr>
      <w:r>
        <w:rPr>
          <w:rFonts w:ascii="华文仿宋" w:hAnsi="华文仿宋" w:eastAsia="华文仿宋"/>
          <w:sz w:val="28"/>
          <w:szCs w:val="28"/>
        </w:rPr>
        <w:t>客运量与第三产业发展协调指数衡量</w:t>
      </w:r>
      <w:r>
        <w:rPr>
          <w:rFonts w:hint="eastAsia" w:ascii="华文仿宋" w:hAnsi="华文仿宋" w:eastAsia="华文仿宋"/>
          <w:sz w:val="28"/>
          <w:szCs w:val="28"/>
        </w:rPr>
        <w:t>客</w:t>
      </w:r>
      <w:r>
        <w:rPr>
          <w:rFonts w:ascii="华文仿宋" w:hAnsi="华文仿宋" w:eastAsia="华文仿宋"/>
          <w:sz w:val="28"/>
          <w:szCs w:val="28"/>
        </w:rPr>
        <w:t>运量与经济发展的协调程度，第三产业在结构比重的增加</w:t>
      </w:r>
      <w:r>
        <w:rPr>
          <w:rFonts w:hint="eastAsia" w:ascii="华文仿宋" w:hAnsi="华文仿宋" w:eastAsia="华文仿宋"/>
          <w:sz w:val="28"/>
          <w:szCs w:val="28"/>
        </w:rPr>
        <w:t>，</w:t>
      </w:r>
      <w:r>
        <w:rPr>
          <w:rFonts w:ascii="华文仿宋" w:hAnsi="华文仿宋" w:eastAsia="华文仿宋"/>
          <w:sz w:val="28"/>
          <w:szCs w:val="28"/>
        </w:rPr>
        <w:t>尤其是旅游业</w:t>
      </w:r>
      <w:r>
        <w:rPr>
          <w:rFonts w:hint="eastAsia" w:ascii="华文仿宋" w:hAnsi="华文仿宋" w:eastAsia="华文仿宋"/>
          <w:sz w:val="28"/>
          <w:szCs w:val="28"/>
        </w:rPr>
        <w:t>的</w:t>
      </w:r>
      <w:r>
        <w:rPr>
          <w:rFonts w:ascii="华文仿宋" w:hAnsi="华文仿宋" w:eastAsia="华文仿宋"/>
          <w:sz w:val="28"/>
          <w:szCs w:val="28"/>
        </w:rPr>
        <w:t>快速发展</w:t>
      </w:r>
      <w:r>
        <w:rPr>
          <w:rFonts w:hint="eastAsia" w:ascii="华文仿宋" w:hAnsi="华文仿宋" w:eastAsia="华文仿宋"/>
          <w:sz w:val="28"/>
          <w:szCs w:val="28"/>
        </w:rPr>
        <w:t>，产生了大量的交通运输客运需求。其计算公式如下：</w:t>
      </w:r>
    </w:p>
    <w:p w14:paraId="0686BA78">
      <w:pPr>
        <w:spacing w:line="360" w:lineRule="auto"/>
        <w:jc w:val="center"/>
        <w:rPr>
          <w:rFonts w:ascii="华文仿宋" w:hAnsi="华文仿宋" w:eastAsia="华文仿宋" w:cs="宋体"/>
          <w:color w:val="000000"/>
          <w:sz w:val="28"/>
          <w:szCs w:val="28"/>
        </w:rPr>
      </w:pPr>
      <w:r>
        <w:rPr>
          <w:rFonts w:hint="eastAsia" w:ascii="华文仿宋" w:hAnsi="华文仿宋" w:eastAsia="华文仿宋"/>
          <w:color w:val="000000"/>
          <w:sz w:val="28"/>
          <w:szCs w:val="28"/>
        </w:rPr>
        <w:t>客运量与第三产业发展协调指数=客运量增长率/第三产业产值增长率</w:t>
      </w:r>
    </w:p>
    <w:p w14:paraId="5F3DD825">
      <w:pPr>
        <w:spacing w:line="360" w:lineRule="auto"/>
        <w:rPr>
          <w:rFonts w:ascii="华文仿宋" w:hAnsi="华文仿宋" w:eastAsia="华文仿宋"/>
          <w:b/>
          <w:bCs/>
          <w:sz w:val="28"/>
          <w:szCs w:val="28"/>
        </w:rPr>
      </w:pPr>
      <w:r>
        <w:rPr>
          <w:rFonts w:hint="eastAsia" w:ascii="华文仿宋" w:hAnsi="华文仿宋" w:eastAsia="华文仿宋"/>
          <w:b/>
          <w:bCs/>
          <w:sz w:val="28"/>
          <w:szCs w:val="28"/>
        </w:rPr>
        <w:t>（2）内部运输结构合理性</w:t>
      </w:r>
    </w:p>
    <w:p w14:paraId="569A3DB0">
      <w:pPr>
        <w:spacing w:line="360" w:lineRule="auto"/>
        <w:ind w:firstLine="480"/>
        <w:rPr>
          <w:rFonts w:ascii="华文仿宋" w:hAnsi="华文仿宋" w:eastAsia="华文仿宋"/>
          <w:sz w:val="28"/>
          <w:szCs w:val="28"/>
        </w:rPr>
      </w:pPr>
      <w:r>
        <w:rPr>
          <w:rFonts w:hint="eastAsia" w:ascii="华文仿宋" w:hAnsi="华文仿宋" w:eastAsia="华文仿宋"/>
          <w:sz w:val="28"/>
          <w:szCs w:val="28"/>
        </w:rPr>
        <w:t>运输经济学中根据各种运输方式的技术经济特征，对各种运输方式的经济运距给出了一个大致的合理范围，如下表所示。</w:t>
      </w:r>
    </w:p>
    <w:p w14:paraId="14387091">
      <w:pPr>
        <w:spacing w:line="360" w:lineRule="auto"/>
        <w:ind w:firstLine="480"/>
        <w:jc w:val="center"/>
        <w:rPr>
          <w:rFonts w:ascii="华文仿宋" w:hAnsi="华文仿宋" w:eastAsia="华文仿宋"/>
          <w:b/>
          <w:bCs/>
          <w:sz w:val="28"/>
          <w:szCs w:val="28"/>
        </w:rPr>
      </w:pPr>
      <w:r>
        <w:rPr>
          <w:rFonts w:hint="eastAsia" w:ascii="华文仿宋" w:hAnsi="华文仿宋" w:eastAsia="华文仿宋"/>
          <w:b/>
          <w:bCs/>
          <w:sz w:val="28"/>
          <w:szCs w:val="28"/>
        </w:rPr>
        <w:t>表2-2</w:t>
      </w:r>
      <w:r>
        <w:rPr>
          <w:rFonts w:ascii="华文仿宋" w:hAnsi="华文仿宋" w:eastAsia="华文仿宋"/>
          <w:b/>
          <w:bCs/>
          <w:sz w:val="28"/>
          <w:szCs w:val="28"/>
        </w:rPr>
        <w:t xml:space="preserve"> </w:t>
      </w:r>
      <w:r>
        <w:rPr>
          <w:rFonts w:hint="eastAsia" w:ascii="华文仿宋" w:hAnsi="华文仿宋" w:eastAsia="华文仿宋"/>
          <w:b/>
          <w:bCs/>
          <w:sz w:val="28"/>
          <w:szCs w:val="28"/>
        </w:rPr>
        <w:t>各种运输方式合理经济里程</w:t>
      </w:r>
    </w:p>
    <w:tbl>
      <w:tblPr>
        <w:tblStyle w:val="10"/>
        <w:tblW w:w="8522" w:type="dxa"/>
        <w:tblInd w:w="108"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346"/>
        <w:gridCol w:w="3088"/>
        <w:gridCol w:w="3088"/>
      </w:tblGrid>
      <w:tr w14:paraId="38F48B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346" w:type="dxa"/>
            <w:vMerge w:val="restart"/>
            <w:tcBorders>
              <w:top w:val="single" w:color="000000" w:sz="12" w:space="0"/>
              <w:bottom w:val="single" w:color="000000" w:sz="4" w:space="0"/>
              <w:right w:val="single" w:color="000000" w:sz="4" w:space="0"/>
            </w:tcBorders>
            <w:vAlign w:val="center"/>
          </w:tcPr>
          <w:p w14:paraId="24A19FBF">
            <w:pPr>
              <w:spacing w:line="360" w:lineRule="auto"/>
              <w:jc w:val="center"/>
              <w:rPr>
                <w:rFonts w:ascii="华文仿宋" w:hAnsi="华文仿宋" w:eastAsia="华文仿宋"/>
                <w:b/>
                <w:sz w:val="24"/>
              </w:rPr>
            </w:pPr>
            <w:r>
              <w:rPr>
                <w:rFonts w:ascii="华文仿宋" w:hAnsi="华文仿宋" w:eastAsia="华文仿宋"/>
                <w:sz w:val="24"/>
              </w:rPr>
              <mc:AlternateContent>
                <mc:Choice Requires="wps">
                  <w:drawing>
                    <wp:anchor distT="0" distB="0" distL="114300" distR="114300" simplePos="0" relativeHeight="251664384" behindDoc="0" locked="0" layoutInCell="1" allowOverlap="1">
                      <wp:simplePos x="0" y="0"/>
                      <wp:positionH relativeFrom="column">
                        <wp:posOffset>-85725</wp:posOffset>
                      </wp:positionH>
                      <wp:positionV relativeFrom="paragraph">
                        <wp:posOffset>-4445</wp:posOffset>
                      </wp:positionV>
                      <wp:extent cx="1510665" cy="417195"/>
                      <wp:effectExtent l="1270" t="4445" r="12065" b="5080"/>
                      <wp:wrapNone/>
                      <wp:docPr id="9" name="直接连接符 9"/>
                      <wp:cNvGraphicFramePr/>
                      <a:graphic xmlns:a="http://schemas.openxmlformats.org/drawingml/2006/main">
                        <a:graphicData uri="http://schemas.microsoft.com/office/word/2010/wordprocessingShape">
                          <wps:wsp>
                            <wps:cNvCnPr/>
                            <wps:spPr>
                              <a:xfrm>
                                <a:off x="0" y="0"/>
                                <a:ext cx="1510665" cy="417195"/>
                              </a:xfrm>
                              <a:prstGeom prst="line">
                                <a:avLst/>
                              </a:prstGeom>
                              <a:ln w="6350"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6.75pt;margin-top:-0.35pt;height:32.85pt;width:118.95pt;z-index:251664384;mso-width-relative:page;mso-height-relative:page;" filled="f" stroked="t" coordsize="21600,21600" o:gfxdata="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Ct9CmNYAAAAIAQAADwAAAAAAAAABACAAAAAiAAAAZHJzL2Rvd25yZXYueG1sUEsBAhQAFAAA&#10;AAgAh07iQBXb1OnxAQAA3QMAAA4AAAAAAAAAAQAgAAAAJQEAAGRycy9lMm9Eb2MueG1sUEsFBgAA&#10;AAAGAAYAWQEAAIgFAAAAAA==&#10;">
                      <v:fill on="f" focussize="0,0"/>
                      <v:stroke weight="0.5pt" color="#000000" joinstyle="round"/>
                      <v:imagedata o:title=""/>
                      <o:lock v:ext="edit" aspectratio="f"/>
                    </v:line>
                  </w:pict>
                </mc:Fallback>
              </mc:AlternateContent>
            </w:r>
            <w:r>
              <w:rPr>
                <w:rFonts w:hint="eastAsia" w:ascii="华文仿宋" w:hAnsi="华文仿宋" w:eastAsia="华文仿宋"/>
                <w:b/>
                <w:sz w:val="24"/>
              </w:rPr>
              <w:t>比较因素</w:t>
            </w:r>
          </w:p>
          <w:p w14:paraId="1BA79158">
            <w:pPr>
              <w:spacing w:line="360" w:lineRule="auto"/>
              <w:jc w:val="left"/>
              <w:rPr>
                <w:rFonts w:ascii="华文仿宋" w:hAnsi="华文仿宋" w:eastAsia="华文仿宋"/>
                <w:b/>
                <w:sz w:val="24"/>
              </w:rPr>
            </w:pPr>
            <w:r>
              <w:rPr>
                <w:rFonts w:hint="eastAsia" w:ascii="华文仿宋" w:hAnsi="华文仿宋" w:eastAsia="华文仿宋"/>
                <w:b/>
                <w:sz w:val="24"/>
              </w:rPr>
              <w:t>运输类别</w:t>
            </w:r>
          </w:p>
        </w:tc>
        <w:tc>
          <w:tcPr>
            <w:tcW w:w="6176" w:type="dxa"/>
            <w:gridSpan w:val="2"/>
            <w:tcBorders>
              <w:top w:val="single" w:color="000000" w:sz="12" w:space="0"/>
              <w:left w:val="single" w:color="000000" w:sz="4" w:space="0"/>
              <w:bottom w:val="single" w:color="000000" w:sz="4" w:space="0"/>
            </w:tcBorders>
            <w:vAlign w:val="center"/>
          </w:tcPr>
          <w:p w14:paraId="0AB0B91B">
            <w:pPr>
              <w:spacing w:line="360" w:lineRule="auto"/>
              <w:jc w:val="center"/>
              <w:rPr>
                <w:rFonts w:ascii="华文仿宋" w:hAnsi="华文仿宋" w:eastAsia="华文仿宋"/>
                <w:b/>
                <w:sz w:val="24"/>
              </w:rPr>
            </w:pPr>
            <w:r>
              <w:rPr>
                <w:rFonts w:hint="eastAsia" w:ascii="华文仿宋" w:hAnsi="华文仿宋" w:eastAsia="华文仿宋"/>
                <w:b/>
                <w:sz w:val="24"/>
              </w:rPr>
              <w:t>经济里程（</w:t>
            </w:r>
            <w:r>
              <w:rPr>
                <w:rFonts w:ascii="华文仿宋" w:hAnsi="华文仿宋" w:eastAsia="华文仿宋"/>
                <w:b/>
                <w:sz w:val="24"/>
              </w:rPr>
              <w:t>km</w:t>
            </w:r>
            <w:r>
              <w:rPr>
                <w:rFonts w:hint="eastAsia" w:ascii="华文仿宋" w:hAnsi="华文仿宋" w:eastAsia="华文仿宋"/>
                <w:b/>
                <w:sz w:val="24"/>
              </w:rPr>
              <w:t>）</w:t>
            </w:r>
          </w:p>
        </w:tc>
      </w:tr>
      <w:tr w14:paraId="2B750F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346" w:type="dxa"/>
            <w:vMerge w:val="continue"/>
            <w:tcBorders>
              <w:top w:val="single" w:color="000000" w:sz="4" w:space="0"/>
              <w:bottom w:val="single" w:color="000000" w:sz="4" w:space="0"/>
              <w:right w:val="single" w:color="000000" w:sz="4" w:space="0"/>
            </w:tcBorders>
            <w:vAlign w:val="center"/>
          </w:tcPr>
          <w:p w14:paraId="26A9CED3">
            <w:pPr>
              <w:spacing w:line="360" w:lineRule="auto"/>
              <w:jc w:val="center"/>
              <w:rPr>
                <w:rFonts w:ascii="华文仿宋" w:hAnsi="华文仿宋" w:eastAsia="华文仿宋"/>
                <w:b/>
                <w:sz w:val="24"/>
              </w:rPr>
            </w:pPr>
          </w:p>
        </w:tc>
        <w:tc>
          <w:tcPr>
            <w:tcW w:w="3088" w:type="dxa"/>
            <w:tcBorders>
              <w:top w:val="single" w:color="000000" w:sz="4" w:space="0"/>
              <w:left w:val="single" w:color="000000" w:sz="4" w:space="0"/>
              <w:bottom w:val="single" w:color="000000" w:sz="4" w:space="0"/>
              <w:right w:val="single" w:color="000000" w:sz="4" w:space="0"/>
            </w:tcBorders>
            <w:vAlign w:val="center"/>
          </w:tcPr>
          <w:p w14:paraId="4DDC262E">
            <w:pPr>
              <w:spacing w:line="360" w:lineRule="auto"/>
              <w:jc w:val="center"/>
              <w:rPr>
                <w:rFonts w:ascii="华文仿宋" w:hAnsi="华文仿宋" w:eastAsia="华文仿宋"/>
                <w:b/>
                <w:sz w:val="24"/>
              </w:rPr>
            </w:pPr>
            <w:r>
              <w:rPr>
                <w:rFonts w:hint="eastAsia" w:ascii="华文仿宋" w:hAnsi="华文仿宋" w:eastAsia="华文仿宋"/>
                <w:b/>
                <w:sz w:val="24"/>
              </w:rPr>
              <w:t>客运</w:t>
            </w:r>
          </w:p>
        </w:tc>
        <w:tc>
          <w:tcPr>
            <w:tcW w:w="3088" w:type="dxa"/>
            <w:tcBorders>
              <w:top w:val="single" w:color="000000" w:sz="4" w:space="0"/>
              <w:left w:val="single" w:color="000000" w:sz="4" w:space="0"/>
              <w:bottom w:val="single" w:color="000000" w:sz="4" w:space="0"/>
            </w:tcBorders>
            <w:vAlign w:val="center"/>
          </w:tcPr>
          <w:p w14:paraId="2826976F">
            <w:pPr>
              <w:spacing w:line="360" w:lineRule="auto"/>
              <w:jc w:val="center"/>
              <w:rPr>
                <w:rFonts w:ascii="华文仿宋" w:hAnsi="华文仿宋" w:eastAsia="华文仿宋"/>
                <w:b/>
                <w:sz w:val="24"/>
              </w:rPr>
            </w:pPr>
            <w:r>
              <w:rPr>
                <w:rFonts w:hint="eastAsia" w:ascii="华文仿宋" w:hAnsi="华文仿宋" w:eastAsia="华文仿宋"/>
                <w:b/>
                <w:sz w:val="24"/>
              </w:rPr>
              <w:t>货运</w:t>
            </w:r>
          </w:p>
        </w:tc>
      </w:tr>
      <w:tr w14:paraId="2CB141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346" w:type="dxa"/>
            <w:tcBorders>
              <w:top w:val="single" w:color="000000" w:sz="4" w:space="0"/>
              <w:bottom w:val="single" w:color="000000" w:sz="4" w:space="0"/>
              <w:right w:val="single" w:color="000000" w:sz="4" w:space="0"/>
            </w:tcBorders>
            <w:vAlign w:val="center"/>
          </w:tcPr>
          <w:p w14:paraId="4CA9E8CA">
            <w:pPr>
              <w:spacing w:line="360" w:lineRule="auto"/>
              <w:jc w:val="center"/>
              <w:rPr>
                <w:rFonts w:ascii="华文仿宋" w:hAnsi="华文仿宋" w:eastAsia="华文仿宋"/>
                <w:sz w:val="24"/>
              </w:rPr>
            </w:pPr>
            <w:r>
              <w:rPr>
                <w:rFonts w:hint="eastAsia" w:ascii="华文仿宋" w:hAnsi="华文仿宋" w:eastAsia="华文仿宋"/>
                <w:sz w:val="24"/>
              </w:rPr>
              <w:t>铁路运输</w:t>
            </w:r>
          </w:p>
        </w:tc>
        <w:tc>
          <w:tcPr>
            <w:tcW w:w="3088" w:type="dxa"/>
            <w:tcBorders>
              <w:top w:val="single" w:color="000000" w:sz="4" w:space="0"/>
              <w:left w:val="single" w:color="000000" w:sz="4" w:space="0"/>
              <w:bottom w:val="single" w:color="000000" w:sz="4" w:space="0"/>
              <w:right w:val="single" w:color="000000" w:sz="4" w:space="0"/>
            </w:tcBorders>
            <w:vAlign w:val="center"/>
          </w:tcPr>
          <w:p w14:paraId="3C06869A">
            <w:pPr>
              <w:spacing w:line="360" w:lineRule="auto"/>
              <w:jc w:val="center"/>
              <w:rPr>
                <w:rFonts w:ascii="华文仿宋" w:hAnsi="华文仿宋" w:eastAsia="华文仿宋"/>
                <w:sz w:val="24"/>
              </w:rPr>
            </w:pPr>
            <w:r>
              <w:rPr>
                <w:rFonts w:ascii="华文仿宋" w:hAnsi="华文仿宋" w:eastAsia="华文仿宋"/>
                <w:sz w:val="24"/>
              </w:rPr>
              <w:t>200~1000</w:t>
            </w:r>
          </w:p>
        </w:tc>
        <w:tc>
          <w:tcPr>
            <w:tcW w:w="3088" w:type="dxa"/>
            <w:tcBorders>
              <w:top w:val="single" w:color="000000" w:sz="4" w:space="0"/>
              <w:left w:val="single" w:color="000000" w:sz="4" w:space="0"/>
              <w:bottom w:val="single" w:color="000000" w:sz="4" w:space="0"/>
            </w:tcBorders>
            <w:vAlign w:val="center"/>
          </w:tcPr>
          <w:p w14:paraId="7B9F2410">
            <w:pPr>
              <w:spacing w:line="360" w:lineRule="auto"/>
              <w:jc w:val="center"/>
              <w:rPr>
                <w:rFonts w:ascii="华文仿宋" w:hAnsi="华文仿宋" w:eastAsia="华文仿宋"/>
                <w:sz w:val="24"/>
              </w:rPr>
            </w:pPr>
            <w:r>
              <w:rPr>
                <w:rFonts w:ascii="华文仿宋" w:hAnsi="华文仿宋" w:eastAsia="华文仿宋"/>
                <w:sz w:val="24"/>
              </w:rPr>
              <w:t>400~1000</w:t>
            </w:r>
          </w:p>
        </w:tc>
      </w:tr>
      <w:tr w14:paraId="263BC4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346" w:type="dxa"/>
            <w:tcBorders>
              <w:top w:val="single" w:color="000000" w:sz="4" w:space="0"/>
              <w:bottom w:val="single" w:color="000000" w:sz="4" w:space="0"/>
              <w:right w:val="single" w:color="000000" w:sz="4" w:space="0"/>
            </w:tcBorders>
            <w:vAlign w:val="center"/>
          </w:tcPr>
          <w:p w14:paraId="63E5D9C5">
            <w:pPr>
              <w:spacing w:line="360" w:lineRule="auto"/>
              <w:jc w:val="center"/>
              <w:rPr>
                <w:rFonts w:ascii="华文仿宋" w:hAnsi="华文仿宋" w:eastAsia="华文仿宋"/>
                <w:sz w:val="24"/>
              </w:rPr>
            </w:pPr>
            <w:r>
              <w:rPr>
                <w:rFonts w:hint="eastAsia" w:ascii="华文仿宋" w:hAnsi="华文仿宋" w:eastAsia="华文仿宋"/>
                <w:sz w:val="24"/>
              </w:rPr>
              <w:t>公路运输</w:t>
            </w:r>
          </w:p>
        </w:tc>
        <w:tc>
          <w:tcPr>
            <w:tcW w:w="3088" w:type="dxa"/>
            <w:tcBorders>
              <w:top w:val="single" w:color="000000" w:sz="4" w:space="0"/>
              <w:left w:val="single" w:color="000000" w:sz="4" w:space="0"/>
              <w:bottom w:val="single" w:color="000000" w:sz="4" w:space="0"/>
              <w:right w:val="single" w:color="000000" w:sz="4" w:space="0"/>
            </w:tcBorders>
            <w:vAlign w:val="center"/>
          </w:tcPr>
          <w:p w14:paraId="0181965E">
            <w:pPr>
              <w:spacing w:line="360" w:lineRule="auto"/>
              <w:jc w:val="center"/>
              <w:rPr>
                <w:rFonts w:ascii="华文仿宋" w:hAnsi="华文仿宋" w:eastAsia="华文仿宋"/>
                <w:sz w:val="24"/>
              </w:rPr>
            </w:pPr>
            <w:r>
              <w:rPr>
                <w:rFonts w:ascii="华文仿宋" w:hAnsi="华文仿宋" w:eastAsia="华文仿宋"/>
                <w:sz w:val="24"/>
              </w:rPr>
              <w:t>0~300</w:t>
            </w:r>
          </w:p>
        </w:tc>
        <w:tc>
          <w:tcPr>
            <w:tcW w:w="3088" w:type="dxa"/>
            <w:tcBorders>
              <w:top w:val="single" w:color="000000" w:sz="4" w:space="0"/>
              <w:left w:val="single" w:color="000000" w:sz="4" w:space="0"/>
              <w:bottom w:val="single" w:color="000000" w:sz="4" w:space="0"/>
            </w:tcBorders>
            <w:vAlign w:val="center"/>
          </w:tcPr>
          <w:p w14:paraId="4C753505">
            <w:pPr>
              <w:spacing w:line="360" w:lineRule="auto"/>
              <w:jc w:val="center"/>
              <w:rPr>
                <w:rFonts w:ascii="华文仿宋" w:hAnsi="华文仿宋" w:eastAsia="华文仿宋"/>
                <w:sz w:val="24"/>
              </w:rPr>
            </w:pPr>
            <w:r>
              <w:rPr>
                <w:rFonts w:ascii="华文仿宋" w:hAnsi="华文仿宋" w:eastAsia="华文仿宋"/>
                <w:sz w:val="24"/>
              </w:rPr>
              <w:t>0~500</w:t>
            </w:r>
          </w:p>
        </w:tc>
      </w:tr>
      <w:tr w14:paraId="0C53A5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346" w:type="dxa"/>
            <w:tcBorders>
              <w:top w:val="single" w:color="000000" w:sz="4" w:space="0"/>
              <w:bottom w:val="single" w:color="000000" w:sz="4" w:space="0"/>
              <w:right w:val="single" w:color="000000" w:sz="4" w:space="0"/>
            </w:tcBorders>
            <w:vAlign w:val="center"/>
          </w:tcPr>
          <w:p w14:paraId="42339692">
            <w:pPr>
              <w:spacing w:line="360" w:lineRule="auto"/>
              <w:jc w:val="center"/>
              <w:rPr>
                <w:rFonts w:ascii="华文仿宋" w:hAnsi="华文仿宋" w:eastAsia="华文仿宋"/>
                <w:sz w:val="24"/>
              </w:rPr>
            </w:pPr>
            <w:r>
              <w:rPr>
                <w:rFonts w:hint="eastAsia" w:ascii="华文仿宋" w:hAnsi="华文仿宋" w:eastAsia="华文仿宋"/>
                <w:sz w:val="24"/>
              </w:rPr>
              <w:t>水路运输</w:t>
            </w:r>
          </w:p>
        </w:tc>
        <w:tc>
          <w:tcPr>
            <w:tcW w:w="3088" w:type="dxa"/>
            <w:tcBorders>
              <w:top w:val="single" w:color="000000" w:sz="4" w:space="0"/>
              <w:left w:val="single" w:color="000000" w:sz="4" w:space="0"/>
              <w:bottom w:val="single" w:color="000000" w:sz="4" w:space="0"/>
              <w:right w:val="single" w:color="000000" w:sz="4" w:space="0"/>
            </w:tcBorders>
            <w:vAlign w:val="center"/>
          </w:tcPr>
          <w:p w14:paraId="3E0B37B1">
            <w:pPr>
              <w:spacing w:line="360" w:lineRule="auto"/>
              <w:jc w:val="center"/>
              <w:rPr>
                <w:rFonts w:ascii="华文仿宋" w:hAnsi="华文仿宋" w:eastAsia="华文仿宋"/>
                <w:sz w:val="24"/>
              </w:rPr>
            </w:pPr>
            <w:r>
              <w:rPr>
                <w:rFonts w:ascii="华文仿宋" w:hAnsi="华文仿宋" w:eastAsia="华文仿宋"/>
                <w:sz w:val="24"/>
              </w:rPr>
              <w:t>30~40</w:t>
            </w:r>
          </w:p>
        </w:tc>
        <w:tc>
          <w:tcPr>
            <w:tcW w:w="3088" w:type="dxa"/>
            <w:tcBorders>
              <w:top w:val="single" w:color="000000" w:sz="4" w:space="0"/>
              <w:left w:val="single" w:color="000000" w:sz="4" w:space="0"/>
              <w:bottom w:val="single" w:color="000000" w:sz="4" w:space="0"/>
            </w:tcBorders>
            <w:vAlign w:val="center"/>
          </w:tcPr>
          <w:p w14:paraId="5DDBF5E4">
            <w:pPr>
              <w:spacing w:line="360" w:lineRule="auto"/>
              <w:jc w:val="center"/>
              <w:rPr>
                <w:rFonts w:ascii="华文仿宋" w:hAnsi="华文仿宋" w:eastAsia="华文仿宋"/>
                <w:sz w:val="24"/>
              </w:rPr>
            </w:pPr>
            <w:r>
              <w:rPr>
                <w:rFonts w:ascii="华文仿宋" w:hAnsi="华文仿宋" w:eastAsia="华文仿宋"/>
                <w:sz w:val="24"/>
              </w:rPr>
              <w:t>2000~3000</w:t>
            </w:r>
          </w:p>
        </w:tc>
      </w:tr>
      <w:tr w14:paraId="004A14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c>
          <w:tcPr>
            <w:tcW w:w="2346" w:type="dxa"/>
            <w:tcBorders>
              <w:top w:val="single" w:color="000000" w:sz="4" w:space="0"/>
              <w:bottom w:val="single" w:color="000000" w:sz="4" w:space="0"/>
              <w:right w:val="single" w:color="000000" w:sz="4" w:space="0"/>
            </w:tcBorders>
            <w:vAlign w:val="center"/>
          </w:tcPr>
          <w:p w14:paraId="5B99C9BD">
            <w:pPr>
              <w:spacing w:line="360" w:lineRule="auto"/>
              <w:jc w:val="center"/>
              <w:rPr>
                <w:rFonts w:ascii="华文仿宋" w:hAnsi="华文仿宋" w:eastAsia="华文仿宋"/>
                <w:sz w:val="24"/>
              </w:rPr>
            </w:pPr>
            <w:r>
              <w:rPr>
                <w:rFonts w:hint="eastAsia" w:ascii="华文仿宋" w:hAnsi="华文仿宋" w:eastAsia="华文仿宋"/>
                <w:sz w:val="24"/>
              </w:rPr>
              <w:t>航空运输</w:t>
            </w:r>
          </w:p>
        </w:tc>
        <w:tc>
          <w:tcPr>
            <w:tcW w:w="3088" w:type="dxa"/>
            <w:tcBorders>
              <w:top w:val="single" w:color="000000" w:sz="4" w:space="0"/>
              <w:left w:val="single" w:color="000000" w:sz="4" w:space="0"/>
              <w:bottom w:val="single" w:color="000000" w:sz="4" w:space="0"/>
              <w:right w:val="single" w:color="000000" w:sz="4" w:space="0"/>
            </w:tcBorders>
            <w:vAlign w:val="center"/>
          </w:tcPr>
          <w:p w14:paraId="658190E4">
            <w:pPr>
              <w:spacing w:line="360" w:lineRule="auto"/>
              <w:jc w:val="center"/>
              <w:rPr>
                <w:rFonts w:ascii="华文仿宋" w:hAnsi="华文仿宋" w:eastAsia="华文仿宋"/>
                <w:sz w:val="24"/>
              </w:rPr>
            </w:pPr>
            <w:r>
              <w:rPr>
                <w:rFonts w:ascii="华文仿宋" w:hAnsi="华文仿宋" w:eastAsia="华文仿宋"/>
                <w:sz w:val="24"/>
              </w:rPr>
              <w:t>&gt;800</w:t>
            </w:r>
          </w:p>
        </w:tc>
        <w:tc>
          <w:tcPr>
            <w:tcW w:w="3088" w:type="dxa"/>
            <w:tcBorders>
              <w:top w:val="single" w:color="000000" w:sz="4" w:space="0"/>
              <w:left w:val="single" w:color="000000" w:sz="4" w:space="0"/>
              <w:bottom w:val="single" w:color="000000" w:sz="4" w:space="0"/>
            </w:tcBorders>
            <w:vAlign w:val="center"/>
          </w:tcPr>
          <w:p w14:paraId="5F982A9F">
            <w:pPr>
              <w:spacing w:line="360" w:lineRule="auto"/>
              <w:jc w:val="center"/>
              <w:rPr>
                <w:rFonts w:ascii="华文仿宋" w:hAnsi="华文仿宋" w:eastAsia="华文仿宋"/>
                <w:sz w:val="24"/>
              </w:rPr>
            </w:pPr>
            <w:r>
              <w:rPr>
                <w:rFonts w:ascii="华文仿宋" w:hAnsi="华文仿宋" w:eastAsia="华文仿宋"/>
                <w:sz w:val="24"/>
              </w:rPr>
              <w:t>&gt;800</w:t>
            </w:r>
          </w:p>
        </w:tc>
      </w:tr>
      <w:tr w14:paraId="67E963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346" w:type="dxa"/>
            <w:tcBorders>
              <w:top w:val="single" w:color="000000" w:sz="4" w:space="0"/>
              <w:bottom w:val="single" w:color="000000" w:sz="12" w:space="0"/>
              <w:right w:val="single" w:color="000000" w:sz="4" w:space="0"/>
            </w:tcBorders>
            <w:vAlign w:val="center"/>
          </w:tcPr>
          <w:p w14:paraId="3D0CA33C">
            <w:pPr>
              <w:spacing w:line="360" w:lineRule="auto"/>
              <w:jc w:val="center"/>
              <w:rPr>
                <w:rFonts w:ascii="华文仿宋" w:hAnsi="华文仿宋" w:eastAsia="华文仿宋"/>
                <w:sz w:val="24"/>
              </w:rPr>
            </w:pPr>
            <w:r>
              <w:rPr>
                <w:rFonts w:hint="eastAsia" w:ascii="华文仿宋" w:hAnsi="华文仿宋" w:eastAsia="华文仿宋"/>
                <w:sz w:val="24"/>
              </w:rPr>
              <w:t>管道运输</w:t>
            </w:r>
          </w:p>
        </w:tc>
        <w:tc>
          <w:tcPr>
            <w:tcW w:w="3088" w:type="dxa"/>
            <w:tcBorders>
              <w:top w:val="single" w:color="000000" w:sz="4" w:space="0"/>
              <w:left w:val="single" w:color="000000" w:sz="4" w:space="0"/>
              <w:bottom w:val="single" w:color="000000" w:sz="12" w:space="0"/>
              <w:right w:val="single" w:color="000000" w:sz="4" w:space="0"/>
            </w:tcBorders>
            <w:vAlign w:val="center"/>
          </w:tcPr>
          <w:p w14:paraId="4E35540E">
            <w:pPr>
              <w:spacing w:line="360" w:lineRule="auto"/>
              <w:jc w:val="center"/>
              <w:rPr>
                <w:rFonts w:ascii="华文仿宋" w:hAnsi="华文仿宋" w:eastAsia="华文仿宋"/>
                <w:sz w:val="24"/>
              </w:rPr>
            </w:pPr>
            <w:r>
              <w:rPr>
                <w:rFonts w:ascii="华文仿宋" w:hAnsi="华文仿宋" w:eastAsia="华文仿宋"/>
                <w:sz w:val="24"/>
              </w:rPr>
              <w:t>-</w:t>
            </w:r>
          </w:p>
        </w:tc>
        <w:tc>
          <w:tcPr>
            <w:tcW w:w="3088" w:type="dxa"/>
            <w:tcBorders>
              <w:top w:val="single" w:color="000000" w:sz="4" w:space="0"/>
              <w:left w:val="single" w:color="000000" w:sz="4" w:space="0"/>
              <w:bottom w:val="single" w:color="000000" w:sz="12" w:space="0"/>
            </w:tcBorders>
            <w:vAlign w:val="center"/>
          </w:tcPr>
          <w:p w14:paraId="6FF5418F">
            <w:pPr>
              <w:spacing w:line="360" w:lineRule="auto"/>
              <w:jc w:val="center"/>
              <w:rPr>
                <w:rFonts w:ascii="华文仿宋" w:hAnsi="华文仿宋" w:eastAsia="华文仿宋"/>
                <w:sz w:val="24"/>
              </w:rPr>
            </w:pPr>
            <w:r>
              <w:rPr>
                <w:rFonts w:ascii="华文仿宋" w:hAnsi="华文仿宋" w:eastAsia="华文仿宋"/>
                <w:sz w:val="24"/>
              </w:rPr>
              <w:t>0~500</w:t>
            </w:r>
          </w:p>
        </w:tc>
      </w:tr>
    </w:tbl>
    <w:p w14:paraId="21D9F8B6">
      <w:pPr>
        <w:spacing w:line="360" w:lineRule="auto"/>
        <w:ind w:firstLine="480"/>
        <w:rPr>
          <w:rFonts w:ascii="华文仿宋" w:hAnsi="华文仿宋" w:eastAsia="华文仿宋"/>
          <w:sz w:val="28"/>
          <w:szCs w:val="28"/>
        </w:rPr>
      </w:pPr>
    </w:p>
    <w:p w14:paraId="46340F80">
      <w:pPr>
        <w:spacing w:line="360" w:lineRule="auto"/>
        <w:rPr>
          <w:rFonts w:ascii="华文仿宋" w:hAnsi="华文仿宋" w:eastAsia="华文仿宋"/>
          <w:b/>
          <w:bCs/>
          <w:sz w:val="28"/>
          <w:szCs w:val="28"/>
        </w:rPr>
      </w:pPr>
      <w:r>
        <w:rPr>
          <w:rFonts w:hint="eastAsia" w:ascii="华文仿宋" w:hAnsi="华文仿宋" w:eastAsia="华文仿宋"/>
          <w:b/>
          <w:bCs/>
          <w:sz w:val="28"/>
          <w:szCs w:val="28"/>
        </w:rPr>
        <w:t>1）客运平均运距</w:t>
      </w:r>
    </w:p>
    <w:p w14:paraId="10997339">
      <w:pPr>
        <w:spacing w:line="360" w:lineRule="auto"/>
        <w:ind w:firstLine="480"/>
        <w:rPr>
          <w:rFonts w:ascii="华文仿宋" w:hAnsi="华文仿宋" w:eastAsia="华文仿宋"/>
          <w:sz w:val="28"/>
          <w:szCs w:val="28"/>
        </w:rPr>
      </w:pPr>
      <w:r>
        <w:rPr>
          <w:rFonts w:hint="eastAsia" w:ascii="华文仿宋" w:hAnsi="华文仿宋" w:eastAsia="华文仿宋"/>
          <w:sz w:val="28"/>
          <w:szCs w:val="28"/>
        </w:rPr>
        <w:t>客运平均运距反映客运平均出行距离，其计算公式如下：</w:t>
      </w:r>
    </w:p>
    <w:p w14:paraId="47D21212">
      <w:pPr>
        <w:spacing w:line="360" w:lineRule="auto"/>
        <w:jc w:val="center"/>
        <w:rPr>
          <w:rFonts w:ascii="华文仿宋" w:hAnsi="华文仿宋" w:eastAsia="华文仿宋" w:cs="宋体"/>
          <w:b/>
          <w:bCs/>
          <w:color w:val="000000"/>
          <w:sz w:val="28"/>
          <w:szCs w:val="28"/>
        </w:rPr>
      </w:pPr>
      <w:r>
        <w:rPr>
          <w:rFonts w:hint="eastAsia" w:ascii="华文仿宋" w:hAnsi="华文仿宋" w:eastAsia="华文仿宋"/>
          <w:sz w:val="28"/>
          <w:szCs w:val="28"/>
        </w:rPr>
        <w:t>客运平均运距=客运周转量/客运量</w:t>
      </w:r>
    </w:p>
    <w:p w14:paraId="3A0A6468">
      <w:pPr>
        <w:spacing w:line="360" w:lineRule="auto"/>
        <w:rPr>
          <w:rFonts w:ascii="华文仿宋" w:hAnsi="华文仿宋" w:eastAsia="华文仿宋"/>
          <w:b/>
          <w:bCs/>
          <w:sz w:val="28"/>
          <w:szCs w:val="28"/>
        </w:rPr>
      </w:pPr>
      <w:r>
        <w:rPr>
          <w:rFonts w:hint="eastAsia" w:ascii="华文仿宋" w:hAnsi="华文仿宋" w:eastAsia="华文仿宋"/>
          <w:b/>
          <w:bCs/>
          <w:sz w:val="28"/>
          <w:szCs w:val="28"/>
        </w:rPr>
        <w:t>2）货运平均运距</w:t>
      </w:r>
    </w:p>
    <w:p w14:paraId="3A5D90EC">
      <w:pPr>
        <w:spacing w:line="360" w:lineRule="auto"/>
        <w:ind w:firstLine="480"/>
        <w:rPr>
          <w:rFonts w:ascii="华文仿宋" w:hAnsi="华文仿宋" w:eastAsia="华文仿宋"/>
          <w:sz w:val="28"/>
          <w:szCs w:val="28"/>
        </w:rPr>
      </w:pPr>
      <w:r>
        <w:rPr>
          <w:rFonts w:hint="eastAsia" w:ascii="华文仿宋" w:hAnsi="华文仿宋" w:eastAsia="华文仿宋"/>
          <w:sz w:val="28"/>
          <w:szCs w:val="28"/>
        </w:rPr>
        <w:t>货运平均运距反映货运平均运输距离，其计算公式如下：</w:t>
      </w:r>
    </w:p>
    <w:p w14:paraId="535495D9">
      <w:pPr>
        <w:spacing w:line="360" w:lineRule="auto"/>
        <w:jc w:val="center"/>
        <w:rPr>
          <w:rFonts w:ascii="华文仿宋" w:hAnsi="华文仿宋" w:eastAsia="华文仿宋"/>
          <w:sz w:val="28"/>
          <w:szCs w:val="28"/>
        </w:rPr>
      </w:pPr>
      <w:r>
        <w:rPr>
          <w:rFonts w:hint="eastAsia" w:ascii="华文仿宋" w:hAnsi="华文仿宋" w:eastAsia="华文仿宋"/>
          <w:sz w:val="28"/>
          <w:szCs w:val="28"/>
        </w:rPr>
        <w:t>货运平均运距=货运周转量/货运量</w:t>
      </w:r>
    </w:p>
    <w:p w14:paraId="7C1B06B6">
      <w:pPr>
        <w:spacing w:line="360" w:lineRule="auto"/>
        <w:rPr>
          <w:rFonts w:ascii="华文仿宋" w:hAnsi="华文仿宋" w:eastAsia="华文仿宋"/>
          <w:b/>
          <w:bCs/>
          <w:color w:val="000000"/>
          <w:sz w:val="28"/>
          <w:szCs w:val="28"/>
        </w:rPr>
      </w:pPr>
      <w:r>
        <w:rPr>
          <w:rFonts w:hint="eastAsia" w:ascii="华文仿宋" w:hAnsi="华文仿宋" w:eastAsia="华文仿宋"/>
          <w:b/>
          <w:bCs/>
          <w:color w:val="000000"/>
          <w:sz w:val="28"/>
          <w:szCs w:val="28"/>
        </w:rPr>
        <w:t>3、服务水平</w:t>
      </w:r>
    </w:p>
    <w:p w14:paraId="667C64B7">
      <w:pPr>
        <w:spacing w:line="360" w:lineRule="auto"/>
        <w:ind w:firstLine="480"/>
        <w:rPr>
          <w:rFonts w:ascii="华文仿宋" w:hAnsi="华文仿宋" w:eastAsia="华文仿宋"/>
          <w:sz w:val="28"/>
          <w:szCs w:val="28"/>
        </w:rPr>
      </w:pPr>
      <w:r>
        <w:rPr>
          <w:rFonts w:hint="eastAsia" w:ascii="华文仿宋" w:hAnsi="华文仿宋" w:eastAsia="华文仿宋"/>
          <w:sz w:val="28"/>
          <w:szCs w:val="28"/>
        </w:rPr>
        <w:t>服务水平适应性是指交通系统的运行机制、组织方式、管理模式与社会经济发展的要求相适应，这两者相互协调、相互促进的基本保证</w:t>
      </w:r>
      <w:r>
        <w:rPr>
          <w:rFonts w:ascii="华文仿宋" w:hAnsi="华文仿宋" w:eastAsia="华文仿宋"/>
          <w:sz w:val="28"/>
          <w:szCs w:val="28"/>
        </w:rPr>
        <w:t>;交通系统</w:t>
      </w:r>
      <w:r>
        <w:rPr>
          <w:rFonts w:hint="eastAsia" w:ascii="华文仿宋" w:hAnsi="华文仿宋" w:eastAsia="华文仿宋"/>
          <w:sz w:val="28"/>
          <w:szCs w:val="28"/>
        </w:rPr>
        <w:t>的服务水平与保障能力，应与经济发展的要求相适应，并能够建立相互促进的良性发展机制。它包括如下方面</w:t>
      </w:r>
      <w:r>
        <w:rPr>
          <w:rFonts w:ascii="华文仿宋" w:hAnsi="华文仿宋" w:eastAsia="华文仿宋"/>
          <w:sz w:val="28"/>
          <w:szCs w:val="28"/>
        </w:rPr>
        <w:t>:①对旅客的出行服务水平;②运行管理水平;③</w:t>
      </w:r>
      <w:r>
        <w:rPr>
          <w:rFonts w:hint="eastAsia" w:ascii="华文仿宋" w:hAnsi="华文仿宋" w:eastAsia="华文仿宋"/>
          <w:sz w:val="28"/>
          <w:szCs w:val="28"/>
        </w:rPr>
        <w:t>信息化服务水平</w:t>
      </w:r>
      <w:r>
        <w:rPr>
          <w:rFonts w:ascii="华文仿宋" w:hAnsi="华文仿宋" w:eastAsia="华文仿宋"/>
          <w:sz w:val="28"/>
          <w:szCs w:val="28"/>
        </w:rPr>
        <w:t>;④基础设施现代化水平;⑤安全可靠性;⑥应急保障能力适应</w:t>
      </w:r>
      <w:r>
        <w:rPr>
          <w:rFonts w:hint="eastAsia" w:ascii="华文仿宋" w:hAnsi="华文仿宋" w:eastAsia="华文仿宋"/>
          <w:sz w:val="28"/>
          <w:szCs w:val="28"/>
        </w:rPr>
        <w:t>性。</w:t>
      </w:r>
    </w:p>
    <w:p w14:paraId="550CD672">
      <w:pPr>
        <w:pStyle w:val="15"/>
        <w:numPr>
          <w:ilvl w:val="0"/>
          <w:numId w:val="8"/>
        </w:numPr>
        <w:spacing w:line="360" w:lineRule="auto"/>
        <w:ind w:firstLineChars="0"/>
        <w:rPr>
          <w:rFonts w:ascii="华文仿宋" w:hAnsi="华文仿宋" w:eastAsia="华文仿宋"/>
          <w:b/>
          <w:bCs/>
          <w:color w:val="000000"/>
          <w:sz w:val="28"/>
          <w:szCs w:val="28"/>
        </w:rPr>
      </w:pPr>
      <w:r>
        <w:rPr>
          <w:rFonts w:hint="eastAsia" w:ascii="华文仿宋" w:hAnsi="华文仿宋" w:eastAsia="华文仿宋"/>
          <w:b/>
          <w:bCs/>
          <w:color w:val="000000"/>
          <w:sz w:val="28"/>
          <w:szCs w:val="28"/>
        </w:rPr>
        <w:t>运网服务水平</w:t>
      </w:r>
    </w:p>
    <w:p w14:paraId="63C1B78A">
      <w:pPr>
        <w:pStyle w:val="15"/>
        <w:numPr>
          <w:ilvl w:val="0"/>
          <w:numId w:val="9"/>
        </w:numPr>
        <w:spacing w:line="360" w:lineRule="auto"/>
        <w:ind w:firstLineChars="0"/>
        <w:rPr>
          <w:rFonts w:ascii="华文仿宋" w:hAnsi="华文仿宋" w:eastAsia="华文仿宋"/>
          <w:color w:val="000000"/>
          <w:sz w:val="28"/>
          <w:szCs w:val="28"/>
        </w:rPr>
      </w:pPr>
      <w:r>
        <w:rPr>
          <w:rFonts w:hint="eastAsia" w:ascii="华文仿宋" w:hAnsi="华文仿宋" w:eastAsia="华文仿宋"/>
          <w:color w:val="000000"/>
          <w:sz w:val="28"/>
          <w:szCs w:val="28"/>
        </w:rPr>
        <w:t>运网连通度</w:t>
      </w:r>
    </w:p>
    <w:p w14:paraId="72804BC5">
      <w:pPr>
        <w:spacing w:line="360" w:lineRule="auto"/>
        <w:ind w:firstLine="480"/>
        <w:rPr>
          <w:rFonts w:ascii="华文仿宋" w:hAnsi="华文仿宋" w:eastAsia="华文仿宋"/>
          <w:color w:val="000000"/>
          <w:sz w:val="28"/>
          <w:szCs w:val="28"/>
        </w:rPr>
      </w:pPr>
      <w:r>
        <w:rPr>
          <w:rFonts w:hint="eastAsia" w:ascii="华文仿宋" w:hAnsi="华文仿宋" w:eastAsia="华文仿宋"/>
          <w:color w:val="000000"/>
          <w:sz w:val="28"/>
          <w:szCs w:val="28"/>
        </w:rPr>
        <w:t>交通运输网络由节点和边组成，它们的连通方式很多，反映了网络中各节点的连通性，体现了网络的一种结构上的特征，计算公式为:</w:t>
      </w:r>
    </w:p>
    <w:p w14:paraId="12B8DDDC">
      <w:pPr>
        <w:spacing w:line="360" w:lineRule="auto"/>
        <w:ind w:firstLine="480"/>
        <w:jc w:val="center"/>
        <w:rPr>
          <w:rFonts w:ascii="华文仿宋" w:hAnsi="华文仿宋" w:eastAsia="华文仿宋"/>
          <w:color w:val="000000"/>
          <w:sz w:val="28"/>
          <w:szCs w:val="28"/>
        </w:rPr>
      </w:pPr>
      <w:r>
        <w:rPr>
          <w:rFonts w:ascii="华文仿宋" w:hAnsi="华文仿宋" w:eastAsia="华文仿宋"/>
          <w:position w:val="-24"/>
          <w:sz w:val="28"/>
          <w:szCs w:val="28"/>
        </w:rPr>
        <w:object>
          <v:shape id="_x0000_i1026" o:spt="75" type="#_x0000_t75" style="height:39.75pt;width:70.5pt;" o:ole="t" filled="f" o:preferrelative="t" stroked="f" coordsize="21600,21600">
            <v:path/>
            <v:fill on="f" focussize="0,0"/>
            <v:stroke on="f" joinstyle="miter"/>
            <v:imagedata r:id="rId11" o:title=""/>
            <o:lock v:ext="edit" aspectratio="t"/>
            <w10:wrap type="none"/>
            <w10:anchorlock/>
          </v:shape>
          <o:OLEObject Type="Embed" ProgID="Equation.DSMT4" ShapeID="_x0000_i1026" DrawAspect="Content" ObjectID="_1468075726" r:id="rId10">
            <o:LockedField>false</o:LockedField>
          </o:OLEObject>
        </w:object>
      </w:r>
    </w:p>
    <w:p w14:paraId="6DD2FB60">
      <w:pPr>
        <w:spacing w:line="360" w:lineRule="auto"/>
        <w:ind w:firstLine="480"/>
        <w:rPr>
          <w:rFonts w:ascii="华文仿宋" w:hAnsi="华文仿宋" w:eastAsia="华文仿宋"/>
          <w:color w:val="000000"/>
          <w:sz w:val="28"/>
          <w:szCs w:val="28"/>
        </w:rPr>
      </w:pPr>
    </w:p>
    <w:p w14:paraId="33C72BB2">
      <w:pPr>
        <w:spacing w:line="360" w:lineRule="auto"/>
        <w:rPr>
          <w:rFonts w:ascii="华文仿宋" w:hAnsi="华文仿宋" w:eastAsia="华文仿宋"/>
          <w:color w:val="000000"/>
          <w:sz w:val="28"/>
          <w:szCs w:val="28"/>
        </w:rPr>
      </w:pPr>
      <w:r>
        <w:rPr>
          <w:rFonts w:hint="eastAsia" w:ascii="华文仿宋" w:hAnsi="华文仿宋" w:eastAsia="华文仿宋"/>
          <w:color w:val="000000"/>
          <w:sz w:val="28"/>
          <w:szCs w:val="28"/>
        </w:rPr>
        <w:t>式中</w:t>
      </w:r>
      <w:r>
        <w:rPr>
          <w:rFonts w:ascii="华文仿宋" w:hAnsi="华文仿宋" w:eastAsia="华文仿宋"/>
          <w:color w:val="000000"/>
          <w:sz w:val="28"/>
          <w:szCs w:val="28"/>
        </w:rPr>
        <w:t xml:space="preserve">: </w:t>
      </w:r>
      <w:r>
        <w:rPr>
          <w:rFonts w:hint="eastAsia" w:ascii="华文仿宋" w:hAnsi="华文仿宋" w:eastAsia="华文仿宋"/>
          <w:i/>
          <w:iCs/>
          <w:color w:val="000000"/>
          <w:sz w:val="28"/>
          <w:szCs w:val="28"/>
        </w:rPr>
        <w:t>L</w:t>
      </w:r>
      <w:r>
        <w:rPr>
          <w:rFonts w:hint="eastAsia" w:ascii="华文仿宋" w:hAnsi="华文仿宋" w:eastAsia="华文仿宋"/>
          <w:color w:val="000000"/>
          <w:sz w:val="28"/>
          <w:szCs w:val="28"/>
        </w:rPr>
        <w:t>——规划区域内交通运网总里程;</w:t>
      </w:r>
      <w:r>
        <w:rPr>
          <w:rFonts w:ascii="华文仿宋" w:hAnsi="华文仿宋" w:eastAsia="华文仿宋"/>
          <w:color w:val="000000"/>
          <w:sz w:val="28"/>
          <w:szCs w:val="28"/>
        </w:rPr>
        <w:t xml:space="preserve"> </w:t>
      </w:r>
    </w:p>
    <w:p w14:paraId="545C8A22">
      <w:pPr>
        <w:spacing w:line="360" w:lineRule="auto"/>
        <w:ind w:firstLine="744" w:firstLineChars="266"/>
        <w:rPr>
          <w:rFonts w:ascii="华文仿宋" w:hAnsi="华文仿宋" w:eastAsia="华文仿宋"/>
          <w:color w:val="000000"/>
          <w:sz w:val="28"/>
          <w:szCs w:val="28"/>
        </w:rPr>
      </w:pPr>
      <w:r>
        <w:rPr>
          <w:rFonts w:hint="eastAsia" w:ascii="华文仿宋" w:hAnsi="华文仿宋" w:eastAsia="华文仿宋"/>
          <w:i/>
          <w:iCs/>
          <w:color w:val="000000"/>
          <w:sz w:val="28"/>
          <w:szCs w:val="28"/>
        </w:rPr>
        <w:t>A</w:t>
      </w:r>
      <w:r>
        <w:rPr>
          <w:rFonts w:hint="eastAsia" w:ascii="华文仿宋" w:hAnsi="华文仿宋" w:eastAsia="华文仿宋"/>
          <w:color w:val="000000"/>
          <w:sz w:val="28"/>
          <w:szCs w:val="28"/>
        </w:rPr>
        <w:t>——规划区域的面积;</w:t>
      </w:r>
    </w:p>
    <w:p w14:paraId="5D34BDB7">
      <w:pPr>
        <w:spacing w:line="360" w:lineRule="auto"/>
        <w:ind w:firstLine="744" w:firstLineChars="266"/>
        <w:rPr>
          <w:rFonts w:ascii="华文仿宋" w:hAnsi="华文仿宋" w:eastAsia="华文仿宋"/>
          <w:color w:val="000000"/>
          <w:sz w:val="28"/>
          <w:szCs w:val="28"/>
        </w:rPr>
      </w:pPr>
      <w:r>
        <w:rPr>
          <w:rFonts w:ascii="华文仿宋" w:hAnsi="华文仿宋" w:eastAsia="华文仿宋"/>
          <w:i/>
          <w:iCs/>
          <w:color w:val="000000"/>
          <w:sz w:val="28"/>
          <w:szCs w:val="28"/>
        </w:rPr>
        <w:t>n</w:t>
      </w:r>
      <w:r>
        <w:rPr>
          <w:rFonts w:hint="eastAsia" w:ascii="华文仿宋" w:hAnsi="华文仿宋" w:eastAsia="华文仿宋"/>
          <w:color w:val="000000"/>
          <w:sz w:val="28"/>
          <w:szCs w:val="28"/>
        </w:rPr>
        <w:t>——规划区域内应连通的节点个数;</w:t>
      </w:r>
    </w:p>
    <w:p w14:paraId="702BF09C">
      <w:pPr>
        <w:spacing w:line="360" w:lineRule="auto"/>
        <w:ind w:firstLine="744" w:firstLineChars="266"/>
        <w:rPr>
          <w:rFonts w:ascii="华文仿宋" w:hAnsi="华文仿宋" w:eastAsia="华文仿宋"/>
          <w:color w:val="000000"/>
          <w:sz w:val="28"/>
          <w:szCs w:val="28"/>
        </w:rPr>
      </w:pPr>
      <w:r>
        <w:rPr>
          <w:rFonts w:hint="eastAsia" w:ascii="华文仿宋" w:hAnsi="华文仿宋" w:eastAsia="华文仿宋"/>
          <w:i/>
          <w:iCs/>
          <w:color w:val="000000"/>
          <w:sz w:val="28"/>
          <w:szCs w:val="28"/>
        </w:rPr>
        <w:t>H</w:t>
      </w:r>
      <w:r>
        <w:rPr>
          <w:rFonts w:hint="eastAsia" w:ascii="华文仿宋" w:hAnsi="华文仿宋" w:eastAsia="华文仿宋"/>
          <w:color w:val="000000"/>
          <w:sz w:val="28"/>
          <w:szCs w:val="28"/>
        </w:rPr>
        <w:t>——相邻两节点间的平均直线距离;</w:t>
      </w:r>
    </w:p>
    <w:p w14:paraId="4286FE5E">
      <w:pPr>
        <w:spacing w:line="360" w:lineRule="auto"/>
        <w:ind w:firstLine="744" w:firstLineChars="266"/>
        <w:rPr>
          <w:rFonts w:ascii="华文仿宋" w:hAnsi="华文仿宋" w:eastAsia="华文仿宋"/>
          <w:color w:val="000000"/>
          <w:sz w:val="28"/>
          <w:szCs w:val="28"/>
        </w:rPr>
      </w:pPr>
      <w:r>
        <w:rPr>
          <w:rFonts w:ascii="华文仿宋" w:hAnsi="华文仿宋" w:eastAsia="华文仿宋"/>
          <w:position w:val="-10"/>
          <w:sz w:val="28"/>
          <w:szCs w:val="28"/>
        </w:rPr>
        <w:object>
          <v:shape id="_x0000_i1027" o:spt="75" type="#_x0000_t75" style="height:16.5pt;width:12pt;" o:ole="t" filled="f" o:preferrelative="t" stroked="f" coordsize="21600,21600">
            <v:path/>
            <v:fill on="f" focussize="0,0"/>
            <v:stroke on="f" joinstyle="miter"/>
            <v:imagedata r:id="rId13" o:title=""/>
            <o:lock v:ext="edit" aspectratio="t"/>
            <w10:wrap type="none"/>
            <w10:anchorlock/>
          </v:shape>
          <o:OLEObject Type="Embed" ProgID="Equation.DSMT4" ShapeID="_x0000_i1027" DrawAspect="Content" ObjectID="_1468075727" r:id="rId12">
            <o:LockedField>false</o:LockedField>
          </o:OLEObject>
        </w:object>
      </w:r>
      <w:r>
        <w:rPr>
          <w:rFonts w:hint="eastAsia" w:ascii="华文仿宋" w:hAnsi="华文仿宋" w:eastAsia="华文仿宋"/>
          <w:color w:val="000000"/>
          <w:sz w:val="28"/>
          <w:szCs w:val="28"/>
        </w:rPr>
        <w:t>——非直线系数，为实际线路总里程与直线总里程之比。</w:t>
      </w:r>
    </w:p>
    <w:p w14:paraId="00D53D10">
      <w:pPr>
        <w:pStyle w:val="15"/>
        <w:numPr>
          <w:ilvl w:val="0"/>
          <w:numId w:val="8"/>
        </w:numPr>
        <w:spacing w:line="360" w:lineRule="auto"/>
        <w:ind w:firstLineChars="0"/>
        <w:rPr>
          <w:rFonts w:ascii="华文仿宋" w:hAnsi="华文仿宋" w:eastAsia="华文仿宋"/>
          <w:b/>
          <w:bCs/>
          <w:color w:val="000000"/>
          <w:sz w:val="28"/>
          <w:szCs w:val="28"/>
        </w:rPr>
      </w:pPr>
      <w:r>
        <w:rPr>
          <w:rFonts w:hint="eastAsia" w:ascii="华文仿宋" w:hAnsi="华文仿宋" w:eastAsia="华文仿宋"/>
          <w:b/>
          <w:bCs/>
          <w:color w:val="000000"/>
          <w:sz w:val="28"/>
          <w:szCs w:val="28"/>
        </w:rPr>
        <w:t>安全水平</w:t>
      </w:r>
    </w:p>
    <w:p w14:paraId="301E6AEA">
      <w:pPr>
        <w:pStyle w:val="15"/>
        <w:numPr>
          <w:ilvl w:val="0"/>
          <w:numId w:val="10"/>
        </w:numPr>
        <w:spacing w:line="360" w:lineRule="auto"/>
        <w:ind w:firstLineChars="0"/>
        <w:rPr>
          <w:rFonts w:ascii="华文仿宋" w:hAnsi="华文仿宋" w:eastAsia="华文仿宋"/>
          <w:sz w:val="28"/>
          <w:szCs w:val="28"/>
        </w:rPr>
      </w:pPr>
      <w:r>
        <w:rPr>
          <w:rFonts w:ascii="华文仿宋" w:hAnsi="华文仿宋" w:eastAsia="华文仿宋"/>
          <w:sz w:val="28"/>
          <w:szCs w:val="28"/>
        </w:rPr>
        <w:t>万车</w:t>
      </w:r>
      <w:r>
        <w:rPr>
          <w:rFonts w:hint="eastAsia" w:ascii="华文仿宋" w:hAnsi="华文仿宋" w:eastAsia="华文仿宋"/>
          <w:sz w:val="28"/>
          <w:szCs w:val="28"/>
        </w:rPr>
        <w:t>事故数</w:t>
      </w:r>
    </w:p>
    <w:p w14:paraId="4A81F461">
      <w:pPr>
        <w:spacing w:line="360" w:lineRule="auto"/>
        <w:ind w:firstLine="480"/>
        <w:rPr>
          <w:rFonts w:ascii="华文仿宋" w:hAnsi="华文仿宋" w:eastAsia="华文仿宋"/>
          <w:sz w:val="28"/>
          <w:szCs w:val="28"/>
        </w:rPr>
      </w:pPr>
      <w:r>
        <w:rPr>
          <w:rFonts w:ascii="华文仿宋" w:hAnsi="华文仿宋" w:eastAsia="华文仿宋"/>
          <w:sz w:val="28"/>
          <w:szCs w:val="28"/>
        </w:rPr>
        <w:t>该指标反映了公路运输安全可靠性，一定时期内，平均每一万辆机动车辆中，</w:t>
      </w:r>
      <w:r>
        <w:rPr>
          <w:rFonts w:hint="eastAsia" w:ascii="华文仿宋" w:hAnsi="华文仿宋" w:eastAsia="华文仿宋"/>
          <w:sz w:val="28"/>
          <w:szCs w:val="28"/>
        </w:rPr>
        <w:t>造成的事故数量。计算公式如下</w:t>
      </w:r>
      <w:r>
        <w:rPr>
          <w:rFonts w:ascii="华文仿宋" w:hAnsi="华文仿宋" w:eastAsia="华文仿宋"/>
          <w:sz w:val="28"/>
          <w:szCs w:val="28"/>
        </w:rPr>
        <w:t xml:space="preserve">: </w:t>
      </w:r>
    </w:p>
    <w:p w14:paraId="01C88598">
      <w:pPr>
        <w:spacing w:line="360" w:lineRule="auto"/>
        <w:ind w:firstLine="480"/>
        <w:rPr>
          <w:rFonts w:ascii="华文仿宋" w:hAnsi="华文仿宋" w:eastAsia="华文仿宋"/>
          <w:iCs/>
          <w:sz w:val="28"/>
          <w:szCs w:val="28"/>
        </w:rPr>
      </w:pPr>
      <m:oMathPara>
        <m:oMath>
          <m:r>
            <m:rPr>
              <m:sty m:val="p"/>
            </m:rPr>
            <w:rPr>
              <w:rFonts w:hint="eastAsia" w:ascii="Cambria Math" w:hAnsi="Cambria Math" w:eastAsia="华文仿宋"/>
              <w:sz w:val="28"/>
              <w:szCs w:val="28"/>
            </w:rPr>
            <m:t>万车事故率=</m:t>
          </m:r>
          <m:f>
            <m:fPr>
              <m:ctrlPr>
                <w:rPr>
                  <w:rFonts w:ascii="Cambria Math" w:hAnsi="Cambria Math" w:eastAsia="华文仿宋"/>
                  <w:iCs/>
                  <w:sz w:val="28"/>
                  <w:szCs w:val="28"/>
                </w:rPr>
              </m:ctrlPr>
            </m:fPr>
            <m:num>
              <m:r>
                <m:rPr>
                  <m:sty m:val="p"/>
                </m:rPr>
                <w:rPr>
                  <w:rFonts w:hint="eastAsia" w:ascii="Cambria Math" w:hAnsi="Cambria Math" w:eastAsia="华文仿宋"/>
                  <w:sz w:val="28"/>
                  <w:szCs w:val="28"/>
                </w:rPr>
                <m:t>交通事故数</m:t>
              </m:r>
              <m:ctrlPr>
                <w:rPr>
                  <w:rFonts w:ascii="Cambria Math" w:hAnsi="Cambria Math" w:eastAsia="华文仿宋"/>
                  <w:iCs/>
                  <w:sz w:val="28"/>
                  <w:szCs w:val="28"/>
                </w:rPr>
              </m:ctrlPr>
            </m:num>
            <m:den>
              <m:r>
                <m:rPr>
                  <m:sty m:val="p"/>
                </m:rPr>
                <w:rPr>
                  <w:rFonts w:hint="eastAsia" w:ascii="Cambria Math" w:hAnsi="Cambria Math" w:eastAsia="华文仿宋"/>
                  <w:sz w:val="28"/>
                  <w:szCs w:val="28"/>
                </w:rPr>
                <m:t>机动车拥有量</m:t>
              </m:r>
              <m:ctrlPr>
                <w:rPr>
                  <w:rFonts w:ascii="Cambria Math" w:hAnsi="Cambria Math" w:eastAsia="华文仿宋"/>
                  <w:iCs/>
                  <w:sz w:val="28"/>
                  <w:szCs w:val="28"/>
                </w:rPr>
              </m:ctrlPr>
            </m:den>
          </m:f>
        </m:oMath>
      </m:oMathPara>
    </w:p>
    <w:p w14:paraId="10C2A4ED">
      <w:pPr>
        <w:pStyle w:val="15"/>
        <w:numPr>
          <w:ilvl w:val="0"/>
          <w:numId w:val="10"/>
        </w:numPr>
        <w:spacing w:line="360" w:lineRule="auto"/>
        <w:ind w:firstLineChars="0"/>
        <w:rPr>
          <w:rFonts w:ascii="华文仿宋" w:hAnsi="华文仿宋" w:eastAsia="华文仿宋"/>
          <w:iCs/>
          <w:sz w:val="28"/>
          <w:szCs w:val="28"/>
        </w:rPr>
      </w:pPr>
      <w:r>
        <w:rPr>
          <w:rFonts w:hint="eastAsia" w:ascii="华文仿宋" w:hAnsi="华文仿宋" w:eastAsia="华文仿宋"/>
          <w:sz w:val="28"/>
          <w:szCs w:val="28"/>
        </w:rPr>
        <w:t>万车死亡率</w:t>
      </w:r>
    </w:p>
    <w:p w14:paraId="0B298932">
      <w:pPr>
        <w:spacing w:line="360" w:lineRule="auto"/>
        <w:ind w:firstLine="480"/>
        <w:rPr>
          <w:rFonts w:ascii="华文仿宋" w:hAnsi="华文仿宋" w:eastAsia="华文仿宋"/>
          <w:sz w:val="28"/>
          <w:szCs w:val="28"/>
        </w:rPr>
      </w:pPr>
      <w:r>
        <w:rPr>
          <w:rFonts w:ascii="华文仿宋" w:hAnsi="华文仿宋" w:eastAsia="华文仿宋"/>
          <w:sz w:val="28"/>
          <w:szCs w:val="28"/>
        </w:rPr>
        <w:t>该指标反映了公路运输安全可靠性，一定时期内，平均每一万辆机动车辆中，</w:t>
      </w:r>
      <w:r>
        <w:rPr>
          <w:rFonts w:hint="eastAsia" w:ascii="华文仿宋" w:hAnsi="华文仿宋" w:eastAsia="华文仿宋"/>
          <w:sz w:val="28"/>
          <w:szCs w:val="28"/>
        </w:rPr>
        <w:t>造成的死亡人数。计算公式如下</w:t>
      </w:r>
      <w:r>
        <w:rPr>
          <w:rFonts w:ascii="华文仿宋" w:hAnsi="华文仿宋" w:eastAsia="华文仿宋"/>
          <w:sz w:val="28"/>
          <w:szCs w:val="28"/>
        </w:rPr>
        <w:t xml:space="preserve">: </w:t>
      </w:r>
    </w:p>
    <w:p w14:paraId="59C44D9A">
      <w:pPr>
        <w:spacing w:line="360" w:lineRule="auto"/>
        <w:ind w:firstLine="480"/>
        <w:rPr>
          <w:rFonts w:ascii="华文仿宋" w:hAnsi="华文仿宋" w:eastAsia="华文仿宋"/>
          <w:sz w:val="28"/>
          <w:szCs w:val="28"/>
        </w:rPr>
      </w:pPr>
    </w:p>
    <w:p w14:paraId="6A3ABCD6">
      <w:pPr>
        <w:spacing w:line="360" w:lineRule="auto"/>
        <w:ind w:firstLine="480"/>
        <w:rPr>
          <w:rFonts w:ascii="华文仿宋" w:hAnsi="华文仿宋" w:eastAsia="华文仿宋"/>
          <w:iCs/>
          <w:sz w:val="28"/>
          <w:szCs w:val="28"/>
        </w:rPr>
      </w:pPr>
      <m:oMathPara>
        <m:oMath>
          <m:r>
            <m:rPr>
              <m:sty m:val="p"/>
            </m:rPr>
            <w:rPr>
              <w:rFonts w:hint="eastAsia" w:ascii="Cambria Math" w:hAnsi="Cambria Math" w:eastAsia="华文仿宋"/>
              <w:sz w:val="28"/>
              <w:szCs w:val="28"/>
            </w:rPr>
            <m:t>万车事故率=</m:t>
          </m:r>
          <m:f>
            <m:fPr>
              <m:ctrlPr>
                <w:rPr>
                  <w:rFonts w:ascii="Cambria Math" w:hAnsi="Cambria Math" w:eastAsia="华文仿宋"/>
                  <w:iCs/>
                  <w:sz w:val="28"/>
                  <w:szCs w:val="28"/>
                </w:rPr>
              </m:ctrlPr>
            </m:fPr>
            <m:num>
              <m:r>
                <m:rPr>
                  <m:sty m:val="p"/>
                </m:rPr>
                <w:rPr>
                  <w:rFonts w:hint="eastAsia" w:ascii="Cambria Math" w:hAnsi="Cambria Math" w:eastAsia="华文仿宋"/>
                  <w:sz w:val="28"/>
                  <w:szCs w:val="28"/>
                </w:rPr>
                <m:t>交通事故死亡人数</m:t>
              </m:r>
              <m:ctrlPr>
                <w:rPr>
                  <w:rFonts w:ascii="Cambria Math" w:hAnsi="Cambria Math" w:eastAsia="华文仿宋"/>
                  <w:iCs/>
                  <w:sz w:val="28"/>
                  <w:szCs w:val="28"/>
                </w:rPr>
              </m:ctrlPr>
            </m:num>
            <m:den>
              <m:r>
                <m:rPr>
                  <m:sty m:val="p"/>
                </m:rPr>
                <w:rPr>
                  <w:rFonts w:hint="eastAsia" w:ascii="Cambria Math" w:hAnsi="Cambria Math" w:eastAsia="华文仿宋"/>
                  <w:sz w:val="28"/>
                  <w:szCs w:val="28"/>
                </w:rPr>
                <m:t>机动车拥有量</m:t>
              </m:r>
              <m:ctrlPr>
                <w:rPr>
                  <w:rFonts w:ascii="Cambria Math" w:hAnsi="Cambria Math" w:eastAsia="华文仿宋"/>
                  <w:iCs/>
                  <w:sz w:val="28"/>
                  <w:szCs w:val="28"/>
                </w:rPr>
              </m:ctrlPr>
            </m:den>
          </m:f>
        </m:oMath>
      </m:oMathPara>
    </w:p>
    <w:p w14:paraId="11248075">
      <w:pPr>
        <w:pStyle w:val="6"/>
        <w:spacing w:line="360" w:lineRule="auto"/>
        <w:rPr>
          <w:rFonts w:ascii="华文仿宋" w:hAnsi="华文仿宋" w:eastAsia="华文仿宋"/>
          <w:szCs w:val="28"/>
        </w:rPr>
      </w:pPr>
      <w:r>
        <w:rPr>
          <w:rFonts w:hint="eastAsia" w:ascii="华文仿宋" w:hAnsi="华文仿宋" w:eastAsia="华文仿宋"/>
          <w:szCs w:val="28"/>
        </w:rPr>
        <w:t>3.2</w:t>
      </w:r>
      <w:r>
        <w:rPr>
          <w:rFonts w:ascii="华文仿宋" w:hAnsi="华文仿宋" w:eastAsia="华文仿宋"/>
          <w:szCs w:val="28"/>
        </w:rPr>
        <w:t xml:space="preserve"> </w:t>
      </w:r>
      <w:r>
        <w:rPr>
          <w:rFonts w:hint="eastAsia" w:ascii="华文仿宋" w:hAnsi="华文仿宋" w:eastAsia="华文仿宋"/>
          <w:szCs w:val="28"/>
        </w:rPr>
        <w:t>适应性分析</w:t>
      </w:r>
      <w:r>
        <w:rPr>
          <w:rFonts w:ascii="华文仿宋" w:hAnsi="华文仿宋" w:eastAsia="华文仿宋"/>
          <w:szCs w:val="28"/>
        </w:rPr>
        <w:t>评价方法</w:t>
      </w:r>
    </w:p>
    <w:p w14:paraId="45A16EE2">
      <w:pPr>
        <w:spacing w:line="360" w:lineRule="auto"/>
        <w:ind w:firstLine="480"/>
        <w:rPr>
          <w:rFonts w:ascii="华文仿宋" w:hAnsi="华文仿宋" w:eastAsia="华文仿宋"/>
          <w:sz w:val="28"/>
          <w:szCs w:val="28"/>
        </w:rPr>
      </w:pPr>
      <w:r>
        <w:rPr>
          <w:rFonts w:ascii="华文仿宋" w:hAnsi="华文仿宋" w:eastAsia="华文仿宋"/>
          <w:sz w:val="28"/>
          <w:szCs w:val="28"/>
        </w:rPr>
        <w:t>本文利用德尔菲法(Delphi)获得各级指标对上级指标的判断矩阵，利用层次</w:t>
      </w:r>
      <w:r>
        <w:rPr>
          <w:rFonts w:hint="eastAsia" w:ascii="华文仿宋" w:hAnsi="华文仿宋" w:eastAsia="华文仿宋"/>
          <w:sz w:val="28"/>
          <w:szCs w:val="28"/>
        </w:rPr>
        <w:t>分析法计算出每个指标的权重，最后得出指标层的综合权重。由于层次分析法计算各评价因素的权重系数容易受专家喜好等影响，主观程度较大，为了客观、准确地获得各指标的权重值，本文将采用层次分析法</w:t>
      </w:r>
      <w:r>
        <w:rPr>
          <w:rFonts w:ascii="华文仿宋" w:hAnsi="华文仿宋" w:eastAsia="华文仿宋"/>
          <w:sz w:val="28"/>
          <w:szCs w:val="28"/>
        </w:rPr>
        <w:t>(AHP )与</w:t>
      </w:r>
      <w:r>
        <w:rPr>
          <w:rFonts w:hint="eastAsia" w:ascii="华文仿宋" w:hAnsi="华文仿宋" w:eastAsia="华文仿宋"/>
          <w:sz w:val="28"/>
          <w:szCs w:val="28"/>
        </w:rPr>
        <w:t>熵</w:t>
      </w:r>
      <w:r>
        <w:rPr>
          <w:rFonts w:ascii="华文仿宋" w:hAnsi="华文仿宋" w:eastAsia="华文仿宋"/>
          <w:sz w:val="28"/>
          <w:szCs w:val="28"/>
        </w:rPr>
        <w:t>权法(Entropy )</w:t>
      </w:r>
      <w:r>
        <w:rPr>
          <w:rFonts w:hint="eastAsia" w:ascii="华文仿宋" w:hAnsi="华文仿宋" w:eastAsia="华文仿宋"/>
          <w:sz w:val="28"/>
          <w:szCs w:val="28"/>
        </w:rPr>
        <w:t>相组</w:t>
      </w:r>
      <w:r>
        <w:rPr>
          <w:rFonts w:ascii="华文仿宋" w:hAnsi="华文仿宋" w:eastAsia="华文仿宋"/>
          <w:sz w:val="28"/>
          <w:szCs w:val="28"/>
        </w:rPr>
        <w:t>合的方法对指标权重进行求解和修正，最终得出各评价指标的权重系数。</w:t>
      </w:r>
    </w:p>
    <w:p w14:paraId="001B9821">
      <w:pPr>
        <w:spacing w:line="360" w:lineRule="auto"/>
        <w:ind w:firstLine="480"/>
        <w:rPr>
          <w:rFonts w:ascii="华文仿宋" w:hAnsi="华文仿宋" w:eastAsia="华文仿宋"/>
          <w:sz w:val="28"/>
          <w:szCs w:val="28"/>
        </w:rPr>
      </w:pPr>
      <w:r>
        <w:rPr>
          <w:rFonts w:ascii="华文仿宋" w:hAnsi="华文仿宋" w:eastAsia="华文仿宋"/>
          <w:sz w:val="28"/>
          <w:szCs w:val="28"/>
        </w:rPr>
        <w:t>在评价交通系统经济适应性等级时</w:t>
      </w:r>
      <w:r>
        <w:rPr>
          <w:rFonts w:hint="eastAsia" w:ascii="华文仿宋" w:hAnsi="华文仿宋" w:eastAsia="华文仿宋"/>
          <w:sz w:val="28"/>
          <w:szCs w:val="28"/>
        </w:rPr>
        <w:t>，</w:t>
      </w:r>
      <w:r>
        <w:rPr>
          <w:rFonts w:ascii="华文仿宋" w:hAnsi="华文仿宋" w:eastAsia="华文仿宋"/>
          <w:sz w:val="28"/>
          <w:szCs w:val="28"/>
        </w:rPr>
        <w:t>本论文采用物元分析方法和可拓评</w:t>
      </w:r>
      <w:r>
        <w:rPr>
          <w:rFonts w:hint="eastAsia" w:ascii="华文仿宋" w:hAnsi="华文仿宋" w:eastAsia="华文仿宋"/>
          <w:sz w:val="28"/>
          <w:szCs w:val="28"/>
        </w:rPr>
        <w:t>价的思想，定性指标由专家根据被评价对象实际情况参照已有的评分标准给出分值，定量指标根据被评价对象的实际数据计算结果取值，从而得出各指标与服务等级的关联程度，生成关联度矩阵。最后利用</w:t>
      </w:r>
      <w:r>
        <w:rPr>
          <w:rFonts w:ascii="华文仿宋" w:hAnsi="华文仿宋" w:eastAsia="华文仿宋"/>
          <w:sz w:val="28"/>
          <w:szCs w:val="28"/>
        </w:rPr>
        <w:t>AHP-Entropy和多级可拓的组合评</w:t>
      </w:r>
      <w:r>
        <w:rPr>
          <w:rFonts w:hint="eastAsia" w:ascii="华文仿宋" w:hAnsi="华文仿宋" w:eastAsia="华文仿宋"/>
          <w:sz w:val="28"/>
          <w:szCs w:val="28"/>
        </w:rPr>
        <w:t>价方法，计算得到评价目标层与各适应性等级的关联程度，最终得出区域交通系统的经济适应性评价等级。</w:t>
      </w:r>
    </w:p>
    <w:p w14:paraId="047B524C">
      <w:pPr>
        <w:spacing w:line="360" w:lineRule="auto"/>
        <w:rPr>
          <w:rFonts w:ascii="华文仿宋" w:hAnsi="华文仿宋" w:eastAsia="华文仿宋"/>
          <w:b/>
          <w:bCs/>
          <w:sz w:val="28"/>
          <w:szCs w:val="28"/>
        </w:rPr>
      </w:pPr>
      <w:r>
        <w:rPr>
          <w:rFonts w:hint="eastAsia" w:ascii="华文仿宋" w:hAnsi="华文仿宋" w:eastAsia="华文仿宋"/>
          <w:b/>
          <w:bCs/>
          <w:sz w:val="28"/>
          <w:szCs w:val="28"/>
        </w:rPr>
        <w:t>一、</w:t>
      </w:r>
      <w:r>
        <w:rPr>
          <w:rFonts w:ascii="华文仿宋" w:hAnsi="华文仿宋" w:eastAsia="华文仿宋"/>
          <w:b/>
          <w:bCs/>
          <w:sz w:val="28"/>
          <w:szCs w:val="28"/>
        </w:rPr>
        <w:t>基本原理</w:t>
      </w:r>
    </w:p>
    <w:p w14:paraId="35E9F9F4">
      <w:pPr>
        <w:spacing w:line="360" w:lineRule="auto"/>
        <w:ind w:firstLine="480"/>
        <w:rPr>
          <w:rFonts w:ascii="华文仿宋" w:hAnsi="华文仿宋" w:eastAsia="华文仿宋"/>
          <w:sz w:val="28"/>
          <w:szCs w:val="28"/>
        </w:rPr>
      </w:pPr>
      <w:r>
        <w:rPr>
          <w:rFonts w:ascii="华文仿宋" w:hAnsi="华文仿宋" w:eastAsia="华文仿宋"/>
          <w:sz w:val="28"/>
          <w:szCs w:val="28"/>
        </w:rPr>
        <w:t>层次分析法(Analytic Hierarchy Process简称AHP )是一种定性与定量相结合的多准则决策方法。它是指</w:t>
      </w:r>
      <w:r>
        <w:rPr>
          <w:rFonts w:hint="eastAsia" w:ascii="华文仿宋" w:hAnsi="华文仿宋" w:eastAsia="华文仿宋"/>
          <w:sz w:val="28"/>
          <w:szCs w:val="28"/>
        </w:rPr>
        <w:t>决策问题的有关元素分解成目标、准则、方案等层次，在此基础上进行定性析和定量分析的一种决策方法。它把人的思维过程层次化、数量化，并用数学为分析、决策、预报或控制提供定量的依据</w:t>
      </w:r>
      <w:r>
        <w:rPr>
          <w:rFonts w:ascii="华文仿宋" w:hAnsi="华文仿宋" w:eastAsia="华文仿宋"/>
          <w:sz w:val="28"/>
          <w:szCs w:val="28"/>
        </w:rPr>
        <w:t>应用层次分析法分析问题时，首先要把问题层次化。根据问题的性质和要达</w:t>
      </w:r>
      <w:r>
        <w:rPr>
          <w:rFonts w:hint="eastAsia" w:ascii="华文仿宋" w:hAnsi="华文仿宋" w:eastAsia="华文仿宋"/>
          <w:sz w:val="28"/>
          <w:szCs w:val="28"/>
        </w:rPr>
        <w:t>到的总标，将问题分解为不同组成因素，并按照因素间的相互关联影响以及隶属</w:t>
      </w:r>
    </w:p>
    <w:p w14:paraId="0AA15FC3">
      <w:pPr>
        <w:spacing w:line="360" w:lineRule="auto"/>
        <w:ind w:firstLine="480"/>
        <w:rPr>
          <w:rFonts w:ascii="华文仿宋" w:hAnsi="华文仿宋" w:eastAsia="华文仿宋"/>
          <w:sz w:val="28"/>
          <w:szCs w:val="28"/>
        </w:rPr>
      </w:pPr>
      <w:r>
        <w:rPr>
          <w:rFonts w:hint="eastAsia" w:ascii="华文仿宋" w:hAnsi="华文仿宋" w:eastAsia="华文仿宋"/>
          <w:sz w:val="28"/>
          <w:szCs w:val="28"/>
        </w:rPr>
        <w:t>关系将因素按不同层次聚集组合，形成一个多层次的分析结构模型。最终把系统分析归结为最底层供决策的方案、措施等</w:t>
      </w:r>
      <w:r>
        <w:rPr>
          <w:rFonts w:ascii="华文仿宋" w:hAnsi="华文仿宋" w:eastAsia="华文仿宋"/>
          <w:sz w:val="28"/>
          <w:szCs w:val="28"/>
        </w:rPr>
        <w:t>)，相对于最高层(总目标)的相对重要</w:t>
      </w:r>
      <w:r>
        <w:rPr>
          <w:rFonts w:hint="eastAsia" w:ascii="华文仿宋" w:hAnsi="华文仿宋" w:eastAsia="华文仿宋"/>
          <w:sz w:val="28"/>
          <w:szCs w:val="28"/>
        </w:rPr>
        <w:t>性权值的确定或相对优劣次的排序问题。</w:t>
      </w:r>
    </w:p>
    <w:p w14:paraId="6D5A6BD0">
      <w:pPr>
        <w:spacing w:line="360" w:lineRule="auto"/>
        <w:ind w:firstLine="480"/>
        <w:jc w:val="left"/>
        <w:rPr>
          <w:rFonts w:ascii="华文仿宋" w:hAnsi="华文仿宋" w:eastAsia="华文仿宋"/>
          <w:sz w:val="28"/>
          <w:szCs w:val="28"/>
        </w:rPr>
      </w:pPr>
      <w:r>
        <w:rPr>
          <w:rFonts w:hint="eastAsia" w:ascii="华文仿宋" w:hAnsi="华文仿宋" w:eastAsia="华文仿宋"/>
          <w:sz w:val="28"/>
          <w:szCs w:val="28"/>
        </w:rPr>
        <w:t>熵是对系统状态的不确定性的一种度量，当系统可能处于</w:t>
      </w:r>
      <w:r>
        <w:rPr>
          <w:rFonts w:ascii="华文仿宋" w:hAnsi="华文仿宋" w:eastAsia="华文仿宋"/>
          <w:sz w:val="28"/>
          <w:szCs w:val="28"/>
        </w:rPr>
        <w:t>n种不同状态，而每种状态出现概率为</w:t>
      </w:r>
      <w:r>
        <w:rPr>
          <w:rFonts w:ascii="华文仿宋" w:hAnsi="华文仿宋" w:eastAsia="华文仿宋"/>
          <w:position w:val="-12"/>
          <w:sz w:val="28"/>
          <w:szCs w:val="28"/>
        </w:rPr>
        <w:object>
          <v:shape id="_x0000_i1028" o:spt="75" type="#_x0000_t75" style="height:18pt;width:13.5pt;" o:ole="t" filled="f" o:preferrelative="t" stroked="f" coordsize="21600,21600">
            <v:path/>
            <v:fill on="f" focussize="0,0"/>
            <v:stroke on="f" joinstyle="miter"/>
            <v:imagedata r:id="rId15" o:title=""/>
            <o:lock v:ext="edit" aspectratio="t"/>
            <w10:wrap type="none"/>
            <w10:anchorlock/>
          </v:shape>
          <o:OLEObject Type="Embed" ProgID="Equation.DSMT4" ShapeID="_x0000_i1028" DrawAspect="Content" ObjectID="_1468075728" r:id="rId14">
            <o:LockedField>false</o:LockedField>
          </o:OLEObject>
        </w:object>
      </w:r>
      <w:r>
        <w:rPr>
          <w:rFonts w:ascii="华文仿宋" w:hAnsi="华文仿宋" w:eastAsia="华文仿宋"/>
          <w:sz w:val="28"/>
          <w:szCs w:val="28"/>
        </w:rPr>
        <w:t>时，系统的</w:t>
      </w:r>
      <w:r>
        <w:rPr>
          <w:rFonts w:hint="eastAsia" w:ascii="华文仿宋" w:hAnsi="华文仿宋" w:eastAsia="华文仿宋"/>
          <w:sz w:val="28"/>
          <w:szCs w:val="28"/>
        </w:rPr>
        <w:t>熵</w:t>
      </w:r>
      <w:r>
        <w:rPr>
          <w:rFonts w:ascii="华文仿宋" w:hAnsi="华文仿宋" w:eastAsia="华文仿宋"/>
          <w:sz w:val="28"/>
          <w:szCs w:val="28"/>
        </w:rPr>
        <w:t>应评价为</w:t>
      </w:r>
      <w:r>
        <w:rPr>
          <w:rFonts w:hint="eastAsia" w:ascii="华文仿宋" w:hAnsi="华文仿宋" w:eastAsia="华文仿宋"/>
          <w:sz w:val="28"/>
          <w:szCs w:val="28"/>
        </w:rPr>
        <w:t>：</w:t>
      </w:r>
    </w:p>
    <w:p w14:paraId="43B37010">
      <w:pPr>
        <w:spacing w:line="360" w:lineRule="auto"/>
        <w:ind w:firstLine="480"/>
        <w:jc w:val="center"/>
        <w:rPr>
          <w:rFonts w:ascii="华文仿宋" w:hAnsi="华文仿宋" w:eastAsia="华文仿宋"/>
          <w:sz w:val="28"/>
          <w:szCs w:val="28"/>
        </w:rPr>
      </w:pPr>
      <w:r>
        <w:rPr>
          <w:rFonts w:ascii="华文仿宋" w:hAnsi="华文仿宋" w:eastAsia="华文仿宋"/>
          <w:position w:val="-28"/>
          <w:sz w:val="28"/>
          <w:szCs w:val="28"/>
        </w:rPr>
        <w:object>
          <v:shape id="_x0000_i1029" o:spt="75" type="#_x0000_t75" style="height:34.5pt;width:178.5pt;" o:ole="t" filled="f" o:preferrelative="t" stroked="f" coordsize="21600,21600">
            <v:path/>
            <v:fill on="f" focussize="0,0"/>
            <v:stroke on="f" joinstyle="miter"/>
            <v:imagedata r:id="rId17" o:title=""/>
            <o:lock v:ext="edit" aspectratio="t"/>
            <w10:wrap type="none"/>
            <w10:anchorlock/>
          </v:shape>
          <o:OLEObject Type="Embed" ProgID="Equation.DSMT4" ShapeID="_x0000_i1029" DrawAspect="Content" ObjectID="_1468075729" r:id="rId16">
            <o:LockedField>false</o:LockedField>
          </o:OLEObject>
        </w:object>
      </w:r>
    </w:p>
    <w:p w14:paraId="6A95F284">
      <w:pPr>
        <w:spacing w:line="360" w:lineRule="auto"/>
        <w:rPr>
          <w:rFonts w:ascii="华文仿宋" w:hAnsi="华文仿宋" w:eastAsia="华文仿宋"/>
          <w:b/>
          <w:bCs/>
          <w:sz w:val="28"/>
          <w:szCs w:val="28"/>
        </w:rPr>
      </w:pPr>
      <w:r>
        <w:rPr>
          <w:rFonts w:hint="eastAsia" w:ascii="华文仿宋" w:hAnsi="华文仿宋" w:eastAsia="华文仿宋"/>
          <w:b/>
          <w:bCs/>
          <w:sz w:val="28"/>
          <w:szCs w:val="28"/>
        </w:rPr>
        <w:t>二、指标权重的确定</w:t>
      </w:r>
    </w:p>
    <w:p w14:paraId="24C98AF9">
      <w:pPr>
        <w:spacing w:line="360" w:lineRule="auto"/>
        <w:rPr>
          <w:rFonts w:ascii="华文仿宋" w:hAnsi="华文仿宋" w:eastAsia="华文仿宋"/>
          <w:b/>
          <w:bCs/>
          <w:sz w:val="28"/>
          <w:szCs w:val="28"/>
        </w:rPr>
      </w:pPr>
      <w:r>
        <w:rPr>
          <w:rFonts w:hint="eastAsia" w:ascii="华文仿宋" w:hAnsi="华文仿宋" w:eastAsia="华文仿宋"/>
          <w:sz w:val="28"/>
          <w:szCs w:val="28"/>
        </w:rPr>
        <w:t>（</w:t>
      </w:r>
      <w:r>
        <w:rPr>
          <w:rFonts w:ascii="华文仿宋" w:hAnsi="华文仿宋" w:eastAsia="华文仿宋"/>
          <w:sz w:val="28"/>
          <w:szCs w:val="28"/>
        </w:rPr>
        <w:t>一</w:t>
      </w:r>
      <w:r>
        <w:rPr>
          <w:rFonts w:hint="eastAsia" w:ascii="华文仿宋" w:hAnsi="华文仿宋" w:eastAsia="华文仿宋"/>
          <w:sz w:val="28"/>
          <w:szCs w:val="28"/>
        </w:rPr>
        <w:t>）</w:t>
      </w:r>
      <w:r>
        <w:rPr>
          <w:rFonts w:ascii="华文仿宋" w:hAnsi="华文仿宋" w:eastAsia="华文仿宋"/>
          <w:sz w:val="28"/>
          <w:szCs w:val="28"/>
        </w:rPr>
        <w:t>AHP法确定权重</w:t>
      </w:r>
    </w:p>
    <w:p w14:paraId="0DB41AFC">
      <w:pPr>
        <w:spacing w:line="360" w:lineRule="auto"/>
        <w:ind w:firstLine="480"/>
        <w:rPr>
          <w:rFonts w:ascii="华文仿宋" w:hAnsi="华文仿宋" w:eastAsia="华文仿宋"/>
          <w:sz w:val="28"/>
          <w:szCs w:val="28"/>
        </w:rPr>
      </w:pPr>
      <w:r>
        <w:rPr>
          <w:rFonts w:ascii="华文仿宋" w:hAnsi="华文仿宋" w:eastAsia="华文仿宋"/>
          <w:sz w:val="28"/>
          <w:szCs w:val="28"/>
        </w:rPr>
        <w:t>(1)建立层次结构模型;</w:t>
      </w:r>
    </w:p>
    <w:p w14:paraId="0AF32F72">
      <w:pPr>
        <w:spacing w:line="360" w:lineRule="auto"/>
        <w:ind w:firstLine="480"/>
        <w:rPr>
          <w:rFonts w:ascii="华文仿宋" w:hAnsi="华文仿宋" w:eastAsia="华文仿宋"/>
          <w:sz w:val="28"/>
          <w:szCs w:val="28"/>
        </w:rPr>
      </w:pPr>
      <w:r>
        <w:rPr>
          <w:rFonts w:ascii="华文仿宋" w:hAnsi="华文仿宋" w:eastAsia="华文仿宋"/>
          <w:sz w:val="28"/>
          <w:szCs w:val="28"/>
        </w:rPr>
        <w:t>根据对问题的因果关系分析将相关因素分解为若干层次，通常分解为目标层、</w:t>
      </w:r>
      <w:r>
        <w:rPr>
          <w:rFonts w:hint="eastAsia" w:ascii="华文仿宋" w:hAnsi="华文仿宋" w:eastAsia="华文仿宋"/>
          <w:sz w:val="28"/>
          <w:szCs w:val="28"/>
        </w:rPr>
        <w:t>准则层、指标层。</w:t>
      </w:r>
    </w:p>
    <w:p w14:paraId="54A44533">
      <w:pPr>
        <w:spacing w:line="360" w:lineRule="auto"/>
        <w:ind w:firstLine="480"/>
        <w:rPr>
          <w:rFonts w:ascii="华文仿宋" w:hAnsi="华文仿宋" w:eastAsia="华文仿宋"/>
          <w:sz w:val="28"/>
          <w:szCs w:val="28"/>
        </w:rPr>
      </w:pPr>
      <w:r>
        <w:rPr>
          <w:rFonts w:ascii="华文仿宋" w:hAnsi="华文仿宋" w:eastAsia="华文仿宋"/>
          <w:sz w:val="28"/>
          <w:szCs w:val="28"/>
        </w:rPr>
        <w:t>(2)建立判断矩阵</w:t>
      </w:r>
    </w:p>
    <w:p w14:paraId="0AC21F41">
      <w:pPr>
        <w:spacing w:line="360" w:lineRule="auto"/>
        <w:ind w:firstLine="480"/>
        <w:rPr>
          <w:rFonts w:ascii="华文仿宋" w:hAnsi="华文仿宋" w:eastAsia="华文仿宋"/>
          <w:sz w:val="28"/>
          <w:szCs w:val="28"/>
        </w:rPr>
      </w:pPr>
      <w:r>
        <w:rPr>
          <w:rFonts w:ascii="华文仿宋" w:hAnsi="华文仿宋" w:eastAsia="华文仿宋"/>
          <w:sz w:val="28"/>
          <w:szCs w:val="28"/>
        </w:rPr>
        <w:t>判断矩阵</w:t>
      </w:r>
      <w:r>
        <w:rPr>
          <w:rFonts w:ascii="华文仿宋" w:hAnsi="华文仿宋" w:eastAsia="华文仿宋"/>
          <w:position w:val="-18"/>
          <w:sz w:val="28"/>
          <w:szCs w:val="28"/>
        </w:rPr>
        <w:object>
          <v:shape id="_x0000_i1030" o:spt="75" type="#_x0000_t75" style="height:23.25pt;width:52.5pt;" o:ole="t" filled="f" o:preferrelative="t" stroked="f" coordsize="21600,21600">
            <v:path/>
            <v:fill on="f" focussize="0,0"/>
            <v:stroke on="f" joinstyle="miter"/>
            <v:imagedata r:id="rId19" o:title=""/>
            <o:lock v:ext="edit" aspectratio="t"/>
            <w10:wrap type="none"/>
            <w10:anchorlock/>
          </v:shape>
          <o:OLEObject Type="Embed" ProgID="Equation.DSMT4" ShapeID="_x0000_i1030" DrawAspect="Content" ObjectID="_1468075730" r:id="rId18">
            <o:LockedField>false</o:LockedField>
          </o:OLEObject>
        </w:object>
      </w:r>
      <w:r>
        <w:rPr>
          <w:rFonts w:hint="eastAsia" w:ascii="华文仿宋" w:hAnsi="华文仿宋" w:eastAsia="华文仿宋"/>
          <w:sz w:val="28"/>
          <w:szCs w:val="28"/>
        </w:rPr>
        <w:t>为</w:t>
      </w:r>
      <w:r>
        <w:rPr>
          <w:rFonts w:ascii="华文仿宋" w:hAnsi="华文仿宋" w:eastAsia="华文仿宋"/>
          <w:sz w:val="28"/>
          <w:szCs w:val="28"/>
        </w:rPr>
        <w:t>正互反矩阵</w:t>
      </w:r>
      <w:r>
        <w:rPr>
          <w:rFonts w:hint="eastAsia" w:ascii="华文仿宋" w:hAnsi="华文仿宋" w:eastAsia="华文仿宋"/>
          <w:sz w:val="28"/>
          <w:szCs w:val="28"/>
        </w:rPr>
        <w:t>，</w:t>
      </w:r>
      <w:r>
        <w:rPr>
          <w:rFonts w:ascii="华文仿宋" w:hAnsi="华文仿宋" w:eastAsia="华文仿宋"/>
          <w:sz w:val="28"/>
          <w:szCs w:val="28"/>
        </w:rPr>
        <w:t>其具有的性质为</w:t>
      </w:r>
      <w:r>
        <w:rPr>
          <w:rFonts w:hint="eastAsia" w:ascii="华文仿宋" w:hAnsi="华文仿宋" w:eastAsia="华文仿宋"/>
          <w:sz w:val="28"/>
          <w:szCs w:val="28"/>
        </w:rPr>
        <w:t>：</w:t>
      </w:r>
      <w:r>
        <w:rPr>
          <w:rFonts w:ascii="华文仿宋" w:hAnsi="华文仿宋" w:eastAsia="华文仿宋"/>
          <w:position w:val="-14"/>
          <w:sz w:val="28"/>
          <w:szCs w:val="28"/>
        </w:rPr>
        <w:object>
          <v:shape id="_x0000_i1031" o:spt="75" type="#_x0000_t75" style="height:19.5pt;width:106.5pt;" o:ole="t" filled="f" o:preferrelative="t" stroked="f" coordsize="21600,21600">
            <v:path/>
            <v:fill on="f" focussize="0,0"/>
            <v:stroke on="f" joinstyle="miter"/>
            <v:imagedata r:id="rId21" o:title=""/>
            <o:lock v:ext="edit" aspectratio="t"/>
            <w10:wrap type="none"/>
            <w10:anchorlock/>
          </v:shape>
          <o:OLEObject Type="Embed" ProgID="Equation.DSMT4" ShapeID="_x0000_i1031" DrawAspect="Content" ObjectID="_1468075731" r:id="rId20">
            <o:LockedField>false</o:LockedField>
          </o:OLEObject>
        </w:object>
      </w:r>
      <w:r>
        <w:rPr>
          <w:rFonts w:hint="eastAsia" w:ascii="华文仿宋" w:hAnsi="华文仿宋" w:eastAsia="华文仿宋"/>
          <w:sz w:val="28"/>
          <w:szCs w:val="28"/>
        </w:rPr>
        <w:t>，式中</w:t>
      </w:r>
      <w:r>
        <w:rPr>
          <w:rFonts w:ascii="华文仿宋" w:hAnsi="华文仿宋" w:eastAsia="华文仿宋"/>
          <w:position w:val="-12"/>
          <w:sz w:val="28"/>
          <w:szCs w:val="28"/>
        </w:rPr>
        <w:object>
          <v:shape id="_x0000_i1032" o:spt="75" type="#_x0000_t75" style="height:18pt;width:11.25pt;" o:ole="t" filled="f" o:preferrelative="t" stroked="f" coordsize="21600,21600">
            <v:path/>
            <v:fill on="f" focussize="0,0"/>
            <v:stroke on="f" joinstyle="miter"/>
            <v:imagedata r:id="rId23" o:title=""/>
            <o:lock v:ext="edit" aspectratio="t"/>
            <w10:wrap type="none"/>
            <w10:anchorlock/>
          </v:shape>
          <o:OLEObject Type="Embed" ProgID="Equation.DSMT4" ShapeID="_x0000_i1032" DrawAspect="Content" ObjectID="_1468075732" r:id="rId22">
            <o:LockedField>false</o:LockedField>
          </o:OLEObject>
        </w:object>
      </w:r>
      <w:r>
        <w:rPr>
          <w:rFonts w:hint="eastAsia" w:ascii="华文仿宋" w:hAnsi="华文仿宋" w:eastAsia="华文仿宋"/>
          <w:sz w:val="28"/>
          <w:szCs w:val="28"/>
        </w:rPr>
        <w:t>（</w:t>
      </w:r>
      <w:r>
        <w:rPr>
          <w:rFonts w:ascii="华文仿宋" w:hAnsi="华文仿宋" w:eastAsia="华文仿宋"/>
          <w:position w:val="-10"/>
          <w:sz w:val="28"/>
          <w:szCs w:val="28"/>
        </w:rPr>
        <w:object>
          <v:shape id="_x0000_i1033" o:spt="75" type="#_x0000_t75" style="height:16.5pt;width:66pt;" o:ole="t" filled="f" o:preferrelative="t" stroked="f" coordsize="21600,21600">
            <v:path/>
            <v:fill on="f" focussize="0,0"/>
            <v:stroke on="f" joinstyle="miter"/>
            <v:imagedata r:id="rId25" o:title=""/>
            <o:lock v:ext="edit" aspectratio="t"/>
            <w10:wrap type="none"/>
            <w10:anchorlock/>
          </v:shape>
          <o:OLEObject Type="Embed" ProgID="Equation.DSMT4" ShapeID="_x0000_i1033" DrawAspect="Content" ObjectID="_1468075733" r:id="rId24">
            <o:LockedField>false</o:LockedField>
          </o:OLEObject>
        </w:object>
      </w:r>
      <w:r>
        <w:rPr>
          <w:rFonts w:hint="eastAsia" w:ascii="华文仿宋" w:hAnsi="华文仿宋" w:eastAsia="华文仿宋"/>
          <w:sz w:val="28"/>
          <w:szCs w:val="28"/>
        </w:rPr>
        <w:t>，</w:t>
      </w:r>
      <w:r>
        <w:rPr>
          <w:rFonts w:ascii="华文仿宋" w:hAnsi="华文仿宋" w:eastAsia="华文仿宋"/>
          <w:position w:val="-6"/>
          <w:sz w:val="28"/>
          <w:szCs w:val="28"/>
        </w:rPr>
        <w:object>
          <v:shape id="_x0000_i1034" o:spt="75" type="#_x0000_t75" style="height:11.25pt;width:10.5pt;" o:ole="t" filled="f" o:preferrelative="t" stroked="f" coordsize="21600,21600">
            <v:path/>
            <v:fill on="f" focussize="0,0"/>
            <v:stroke on="f" joinstyle="miter"/>
            <v:imagedata r:id="rId27" o:title=""/>
            <o:lock v:ext="edit" aspectratio="t"/>
            <w10:wrap type="none"/>
            <w10:anchorlock/>
          </v:shape>
          <o:OLEObject Type="Embed" ProgID="Equation.DSMT4" ShapeID="_x0000_i1034" DrawAspect="Content" ObjectID="_1468075734" r:id="rId26">
            <o:LockedField>false</o:LockedField>
          </o:OLEObject>
        </w:object>
      </w:r>
      <w:r>
        <w:rPr>
          <w:rFonts w:hint="eastAsia" w:ascii="华文仿宋" w:hAnsi="华文仿宋" w:eastAsia="华文仿宋"/>
          <w:sz w:val="28"/>
          <w:szCs w:val="28"/>
        </w:rPr>
        <w:t>为某一层指标的个数）代表</w:t>
      </w:r>
      <w:r>
        <w:rPr>
          <w:rFonts w:ascii="华文仿宋" w:hAnsi="华文仿宋" w:eastAsia="华文仿宋"/>
          <w:position w:val="-12"/>
          <w:sz w:val="28"/>
          <w:szCs w:val="28"/>
        </w:rPr>
        <w:object>
          <v:shape id="_x0000_i1035" o:spt="75" type="#_x0000_t75" style="height:18pt;width:16.5pt;" o:ole="t" filled="f" o:preferrelative="t" stroked="f" coordsize="21600,21600">
            <v:path/>
            <v:fill on="f" focussize="0,0"/>
            <v:stroke on="f" joinstyle="miter"/>
            <v:imagedata r:id="rId29" o:title=""/>
            <o:lock v:ext="edit" aspectratio="t"/>
            <w10:wrap type="none"/>
            <w10:anchorlock/>
          </v:shape>
          <o:OLEObject Type="Embed" ProgID="Equation.DSMT4" ShapeID="_x0000_i1035" DrawAspect="Content" ObjectID="_1468075735" r:id="rId28">
            <o:LockedField>false</o:LockedField>
          </o:OLEObject>
        </w:object>
      </w:r>
      <w:r>
        <w:rPr>
          <w:rFonts w:hint="eastAsia" w:ascii="华文仿宋" w:hAnsi="华文仿宋" w:eastAsia="华文仿宋"/>
          <w:sz w:val="28"/>
          <w:szCs w:val="28"/>
        </w:rPr>
        <w:t>和</w:t>
      </w:r>
      <w:r>
        <w:rPr>
          <w:rFonts w:ascii="华文仿宋" w:hAnsi="华文仿宋" w:eastAsia="华文仿宋"/>
          <w:position w:val="-14"/>
          <w:sz w:val="28"/>
          <w:szCs w:val="28"/>
        </w:rPr>
        <w:object>
          <v:shape id="_x0000_i1036" o:spt="75" type="#_x0000_t75" style="height:19.5pt;width:17.25pt;" o:ole="t" filled="f" o:preferrelative="t" stroked="f" coordsize="21600,21600">
            <v:path/>
            <v:fill on="f" focussize="0,0"/>
            <v:stroke on="f" joinstyle="miter"/>
            <v:imagedata r:id="rId31" o:title=""/>
            <o:lock v:ext="edit" aspectratio="t"/>
            <w10:wrap type="none"/>
            <w10:anchorlock/>
          </v:shape>
          <o:OLEObject Type="Embed" ProgID="Equation.DSMT4" ShapeID="_x0000_i1036" DrawAspect="Content" ObjectID="_1468075736" r:id="rId30">
            <o:LockedField>false</o:LockedField>
          </o:OLEObject>
        </w:object>
      </w:r>
      <w:r>
        <w:rPr>
          <w:rFonts w:ascii="华文仿宋" w:hAnsi="华文仿宋" w:eastAsia="华文仿宋"/>
          <w:sz w:val="28"/>
          <w:szCs w:val="28"/>
        </w:rPr>
        <w:t>相对于其上一层元</w:t>
      </w:r>
      <w:r>
        <w:rPr>
          <w:rFonts w:hint="eastAsia" w:ascii="华文仿宋" w:hAnsi="华文仿宋" w:eastAsia="华文仿宋"/>
          <w:sz w:val="28"/>
          <w:szCs w:val="28"/>
        </w:rPr>
        <w:t>素的相对重要程度。判断矩阵各元素的值反映了人们对各因素在重要性方面相互比较的认识，该方法通常采用1-9</w:t>
      </w:r>
      <w:r>
        <w:rPr>
          <w:rFonts w:ascii="华文仿宋" w:hAnsi="华文仿宋" w:eastAsia="华文仿宋"/>
          <w:sz w:val="28"/>
          <w:szCs w:val="28"/>
        </w:rPr>
        <w:t>的9级比例标度对重要度赋值，具体的评价标度</w:t>
      </w:r>
      <w:r>
        <w:rPr>
          <w:rFonts w:hint="eastAsia" w:ascii="华文仿宋" w:hAnsi="华文仿宋" w:eastAsia="华文仿宋"/>
          <w:sz w:val="28"/>
          <w:szCs w:val="28"/>
        </w:rPr>
        <w:t>见表2-4</w:t>
      </w:r>
      <w:r>
        <w:rPr>
          <w:rFonts w:ascii="华文仿宋" w:hAnsi="华文仿宋" w:eastAsia="华文仿宋"/>
          <w:sz w:val="28"/>
          <w:szCs w:val="28"/>
        </w:rPr>
        <w:t>。</w:t>
      </w:r>
    </w:p>
    <w:p w14:paraId="6A510727">
      <w:pPr>
        <w:spacing w:line="360" w:lineRule="auto"/>
        <w:ind w:firstLine="480"/>
        <w:jc w:val="center"/>
        <w:rPr>
          <w:rFonts w:ascii="华文仿宋" w:hAnsi="华文仿宋" w:eastAsia="华文仿宋"/>
          <w:sz w:val="28"/>
          <w:szCs w:val="28"/>
        </w:rPr>
      </w:pPr>
      <w:r>
        <w:rPr>
          <w:rFonts w:hint="eastAsia" w:ascii="华文仿宋" w:hAnsi="华文仿宋" w:eastAsia="华文仿宋"/>
          <w:sz w:val="28"/>
          <w:szCs w:val="28"/>
        </w:rPr>
        <w:t>表2</w:t>
      </w:r>
      <w:r>
        <w:rPr>
          <w:rFonts w:ascii="华文仿宋" w:hAnsi="华文仿宋" w:eastAsia="华文仿宋"/>
          <w:sz w:val="28"/>
          <w:szCs w:val="28"/>
        </w:rPr>
        <w:t>-</w:t>
      </w:r>
      <w:r>
        <w:rPr>
          <w:rFonts w:hint="eastAsia" w:ascii="华文仿宋" w:hAnsi="华文仿宋" w:eastAsia="华文仿宋"/>
          <w:sz w:val="28"/>
          <w:szCs w:val="28"/>
        </w:rPr>
        <w:t>3</w:t>
      </w:r>
      <w:r>
        <w:rPr>
          <w:rFonts w:ascii="华文仿宋" w:hAnsi="华文仿宋" w:eastAsia="华文仿宋"/>
          <w:sz w:val="28"/>
          <w:szCs w:val="28"/>
        </w:rPr>
        <w:t>要素比较标度及其描述</w:t>
      </w:r>
    </w:p>
    <w:tbl>
      <w:tblPr>
        <w:tblStyle w:val="11"/>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3969"/>
        <w:gridCol w:w="2064"/>
      </w:tblGrid>
      <w:tr w14:paraId="57DBC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Pr>
          <w:p w14:paraId="756EAE9D">
            <w:pPr>
              <w:ind w:firstLine="400"/>
              <w:jc w:val="center"/>
              <w:rPr>
                <w:rFonts w:ascii="华文仿宋" w:hAnsi="华文仿宋" w:eastAsia="华文仿宋"/>
                <w:kern w:val="0"/>
                <w:sz w:val="24"/>
              </w:rPr>
            </w:pPr>
            <w:r>
              <w:rPr>
                <w:rFonts w:hint="eastAsia" w:ascii="华文仿宋" w:hAnsi="华文仿宋" w:eastAsia="华文仿宋"/>
                <w:kern w:val="0"/>
                <w:sz w:val="24"/>
              </w:rPr>
              <w:t>序号</w:t>
            </w:r>
          </w:p>
        </w:tc>
        <w:tc>
          <w:tcPr>
            <w:tcW w:w="3969" w:type="dxa"/>
          </w:tcPr>
          <w:p w14:paraId="24FEC826">
            <w:pPr>
              <w:ind w:firstLine="400"/>
              <w:jc w:val="center"/>
              <w:rPr>
                <w:rFonts w:ascii="华文仿宋" w:hAnsi="华文仿宋" w:eastAsia="华文仿宋"/>
                <w:kern w:val="0"/>
                <w:sz w:val="24"/>
              </w:rPr>
            </w:pPr>
            <w:r>
              <w:rPr>
                <w:rFonts w:hint="eastAsia" w:ascii="华文仿宋" w:hAnsi="华文仿宋" w:eastAsia="华文仿宋"/>
                <w:kern w:val="0"/>
                <w:sz w:val="24"/>
              </w:rPr>
              <w:t>重要性等级</w:t>
            </w:r>
          </w:p>
        </w:tc>
        <w:tc>
          <w:tcPr>
            <w:tcW w:w="2064" w:type="dxa"/>
          </w:tcPr>
          <w:p w14:paraId="3BE76EF8">
            <w:pPr>
              <w:ind w:firstLine="480"/>
              <w:jc w:val="center"/>
              <w:rPr>
                <w:rFonts w:ascii="华文仿宋" w:hAnsi="华文仿宋" w:eastAsia="华文仿宋"/>
                <w:kern w:val="0"/>
                <w:sz w:val="24"/>
              </w:rPr>
            </w:pPr>
            <w:r>
              <w:rPr>
                <w:rFonts w:ascii="华文仿宋" w:hAnsi="华文仿宋" w:eastAsia="华文仿宋"/>
                <w:position w:val="-14"/>
                <w:sz w:val="24"/>
              </w:rPr>
              <w:object>
                <v:shape id="_x0000_i1037" o:spt="75" type="#_x0000_t75" style="height:19.5pt;width:16.5pt;" o:ole="t" filled="f" o:preferrelative="t" stroked="f" coordsize="21600,21600">
                  <v:path/>
                  <v:fill on="f" focussize="0,0"/>
                  <v:stroke on="f" joinstyle="miter"/>
                  <v:imagedata r:id="rId33" o:title=""/>
                  <o:lock v:ext="edit" aspectratio="t"/>
                  <w10:wrap type="none"/>
                  <w10:anchorlock/>
                </v:shape>
                <o:OLEObject Type="Embed" ProgID="Equation.DSMT4" ShapeID="_x0000_i1037" DrawAspect="Content" ObjectID="_1468075737" r:id="rId32">
                  <o:LockedField>false</o:LockedField>
                </o:OLEObject>
              </w:object>
            </w:r>
            <w:r>
              <w:rPr>
                <w:rFonts w:hint="eastAsia" w:ascii="华文仿宋" w:hAnsi="华文仿宋" w:eastAsia="华文仿宋"/>
                <w:kern w:val="0"/>
                <w:sz w:val="24"/>
              </w:rPr>
              <w:t>赋值</w:t>
            </w:r>
          </w:p>
        </w:tc>
      </w:tr>
      <w:tr w14:paraId="3028F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Pr>
          <w:p w14:paraId="774E3CA5">
            <w:pPr>
              <w:ind w:firstLine="400"/>
              <w:jc w:val="center"/>
              <w:rPr>
                <w:rFonts w:ascii="华文仿宋" w:hAnsi="华文仿宋" w:eastAsia="华文仿宋"/>
                <w:kern w:val="0"/>
                <w:sz w:val="24"/>
              </w:rPr>
            </w:pPr>
            <w:r>
              <w:rPr>
                <w:rFonts w:hint="eastAsia" w:ascii="华文仿宋" w:hAnsi="华文仿宋" w:eastAsia="华文仿宋"/>
                <w:kern w:val="0"/>
                <w:sz w:val="24"/>
              </w:rPr>
              <w:t>1</w:t>
            </w:r>
          </w:p>
        </w:tc>
        <w:tc>
          <w:tcPr>
            <w:tcW w:w="3969" w:type="dxa"/>
          </w:tcPr>
          <w:p w14:paraId="6E16035B">
            <w:pPr>
              <w:ind w:firstLine="480"/>
              <w:jc w:val="center"/>
              <w:rPr>
                <w:rFonts w:ascii="华文仿宋" w:hAnsi="华文仿宋" w:eastAsia="华文仿宋"/>
                <w:kern w:val="0"/>
                <w:sz w:val="24"/>
              </w:rPr>
            </w:pPr>
            <w:r>
              <w:rPr>
                <w:rFonts w:ascii="华文仿宋" w:hAnsi="华文仿宋" w:eastAsia="华文仿宋"/>
                <w:position w:val="-10"/>
                <w:sz w:val="24"/>
              </w:rPr>
              <w:object>
                <v:shape id="_x0000_i1038" o:spt="75" type="#_x0000_t75" style="height:15pt;width:18pt;" o:ole="t" filled="f" o:preferrelative="t" stroked="f" coordsize="21600,21600">
                  <v:path/>
                  <v:fill on="f" focussize="0,0"/>
                  <v:stroke on="f" joinstyle="miter"/>
                  <v:imagedata r:id="rId35" o:title=""/>
                  <o:lock v:ext="edit" aspectratio="t"/>
                  <w10:wrap type="none"/>
                  <w10:anchorlock/>
                </v:shape>
                <o:OLEObject Type="Embed" ProgID="Equation.DSMT4" ShapeID="_x0000_i1038" DrawAspect="Content" ObjectID="_1468075738" r:id="rId34">
                  <o:LockedField>false</o:LockedField>
                </o:OLEObject>
              </w:object>
            </w:r>
            <w:r>
              <w:rPr>
                <w:rFonts w:hint="eastAsia" w:ascii="华文仿宋" w:hAnsi="华文仿宋" w:eastAsia="华文仿宋"/>
                <w:kern w:val="0"/>
                <w:sz w:val="24"/>
              </w:rPr>
              <w:t>元素同等重要</w:t>
            </w:r>
          </w:p>
        </w:tc>
        <w:tc>
          <w:tcPr>
            <w:tcW w:w="2064" w:type="dxa"/>
          </w:tcPr>
          <w:p w14:paraId="55662481">
            <w:pPr>
              <w:ind w:firstLine="400"/>
              <w:jc w:val="center"/>
              <w:rPr>
                <w:rFonts w:ascii="华文仿宋" w:hAnsi="华文仿宋" w:eastAsia="华文仿宋"/>
                <w:kern w:val="0"/>
                <w:sz w:val="24"/>
              </w:rPr>
            </w:pPr>
            <w:r>
              <w:rPr>
                <w:rFonts w:hint="eastAsia" w:ascii="华文仿宋" w:hAnsi="华文仿宋" w:eastAsia="华文仿宋"/>
                <w:kern w:val="0"/>
                <w:sz w:val="24"/>
              </w:rPr>
              <w:t>1</w:t>
            </w:r>
          </w:p>
        </w:tc>
      </w:tr>
      <w:tr w14:paraId="3E3AD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Pr>
          <w:p w14:paraId="0D3B7581">
            <w:pPr>
              <w:ind w:firstLine="400"/>
              <w:jc w:val="center"/>
              <w:rPr>
                <w:rFonts w:ascii="华文仿宋" w:hAnsi="华文仿宋" w:eastAsia="华文仿宋"/>
                <w:kern w:val="0"/>
                <w:sz w:val="24"/>
              </w:rPr>
            </w:pPr>
            <w:r>
              <w:rPr>
                <w:rFonts w:hint="eastAsia" w:ascii="华文仿宋" w:hAnsi="华文仿宋" w:eastAsia="华文仿宋"/>
                <w:kern w:val="0"/>
                <w:sz w:val="24"/>
              </w:rPr>
              <w:t>2</w:t>
            </w:r>
          </w:p>
        </w:tc>
        <w:tc>
          <w:tcPr>
            <w:tcW w:w="3969" w:type="dxa"/>
          </w:tcPr>
          <w:p w14:paraId="42022B70">
            <w:pPr>
              <w:ind w:firstLine="480"/>
              <w:jc w:val="center"/>
              <w:rPr>
                <w:rFonts w:ascii="华文仿宋" w:hAnsi="华文仿宋" w:eastAsia="华文仿宋"/>
                <w:kern w:val="0"/>
                <w:sz w:val="24"/>
              </w:rPr>
            </w:pPr>
            <w:r>
              <w:rPr>
                <w:rFonts w:ascii="华文仿宋" w:hAnsi="华文仿宋" w:eastAsia="华文仿宋"/>
                <w:position w:val="-6"/>
                <w:sz w:val="24"/>
              </w:rPr>
              <w:object>
                <v:shape id="_x0000_i1039" o:spt="75" type="#_x0000_t75" style="height:13.5pt;width:7.5pt;" o:ole="t" filled="f" o:preferrelative="t" stroked="f" coordsize="21600,21600">
                  <v:path/>
                  <v:fill on="f" focussize="0,0"/>
                  <v:stroke on="f" joinstyle="miter"/>
                  <v:imagedata r:id="rId37" o:title=""/>
                  <o:lock v:ext="edit" aspectratio="t"/>
                  <w10:wrap type="none"/>
                  <w10:anchorlock/>
                </v:shape>
                <o:OLEObject Type="Embed" ProgID="Equation.DSMT4" ShapeID="_x0000_i1039" DrawAspect="Content" ObjectID="_1468075739" r:id="rId36">
                  <o:LockedField>false</o:LockedField>
                </o:OLEObject>
              </w:object>
            </w:r>
            <w:r>
              <w:rPr>
                <w:rFonts w:hint="eastAsia" w:ascii="华文仿宋" w:hAnsi="华文仿宋" w:eastAsia="华文仿宋"/>
                <w:kern w:val="0"/>
                <w:sz w:val="24"/>
              </w:rPr>
              <w:t>元素比</w:t>
            </w:r>
            <w:r>
              <w:rPr>
                <w:rFonts w:ascii="华文仿宋" w:hAnsi="华文仿宋" w:eastAsia="华文仿宋"/>
                <w:position w:val="-10"/>
                <w:sz w:val="24"/>
              </w:rPr>
              <w:object>
                <v:shape id="_x0000_i1040" o:spt="75" type="#_x0000_t75" style="height:15pt;width:10.5pt;" o:ole="t" filled="f" o:preferrelative="t" stroked="f" coordsize="21600,21600">
                  <v:path/>
                  <v:fill on="f" focussize="0,0"/>
                  <v:stroke on="f" joinstyle="miter"/>
                  <v:imagedata r:id="rId39" o:title=""/>
                  <o:lock v:ext="edit" aspectratio="t"/>
                  <w10:wrap type="none"/>
                  <w10:anchorlock/>
                </v:shape>
                <o:OLEObject Type="Embed" ProgID="Equation.DSMT4" ShapeID="_x0000_i1040" DrawAspect="Content" ObjectID="_1468075740" r:id="rId38">
                  <o:LockedField>false</o:LockedField>
                </o:OLEObject>
              </w:object>
            </w:r>
            <w:r>
              <w:rPr>
                <w:rFonts w:hint="eastAsia" w:ascii="华文仿宋" w:hAnsi="华文仿宋" w:eastAsia="华文仿宋"/>
                <w:kern w:val="0"/>
                <w:sz w:val="24"/>
              </w:rPr>
              <w:t>元素稍重要</w:t>
            </w:r>
          </w:p>
        </w:tc>
        <w:tc>
          <w:tcPr>
            <w:tcW w:w="2064" w:type="dxa"/>
          </w:tcPr>
          <w:p w14:paraId="00B6BEC4">
            <w:pPr>
              <w:ind w:firstLine="400"/>
              <w:jc w:val="center"/>
              <w:rPr>
                <w:rFonts w:ascii="华文仿宋" w:hAnsi="华文仿宋" w:eastAsia="华文仿宋"/>
                <w:kern w:val="0"/>
                <w:sz w:val="24"/>
              </w:rPr>
            </w:pPr>
            <w:r>
              <w:rPr>
                <w:rFonts w:hint="eastAsia" w:ascii="华文仿宋" w:hAnsi="华文仿宋" w:eastAsia="华文仿宋"/>
                <w:kern w:val="0"/>
                <w:sz w:val="24"/>
              </w:rPr>
              <w:t>2</w:t>
            </w:r>
          </w:p>
        </w:tc>
      </w:tr>
      <w:tr w14:paraId="2BF23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Pr>
          <w:p w14:paraId="789AB489">
            <w:pPr>
              <w:ind w:firstLine="400"/>
              <w:jc w:val="center"/>
              <w:rPr>
                <w:rFonts w:ascii="华文仿宋" w:hAnsi="华文仿宋" w:eastAsia="华文仿宋"/>
                <w:kern w:val="0"/>
                <w:sz w:val="24"/>
              </w:rPr>
            </w:pPr>
            <w:r>
              <w:rPr>
                <w:rFonts w:hint="eastAsia" w:ascii="华文仿宋" w:hAnsi="华文仿宋" w:eastAsia="华文仿宋"/>
                <w:kern w:val="0"/>
                <w:sz w:val="24"/>
              </w:rPr>
              <w:t>3</w:t>
            </w:r>
          </w:p>
        </w:tc>
        <w:tc>
          <w:tcPr>
            <w:tcW w:w="3969" w:type="dxa"/>
          </w:tcPr>
          <w:p w14:paraId="586DE486">
            <w:pPr>
              <w:ind w:firstLine="480"/>
              <w:jc w:val="center"/>
              <w:rPr>
                <w:rFonts w:ascii="华文仿宋" w:hAnsi="华文仿宋" w:eastAsia="华文仿宋"/>
                <w:kern w:val="0"/>
                <w:sz w:val="24"/>
              </w:rPr>
            </w:pPr>
            <w:r>
              <w:rPr>
                <w:rFonts w:ascii="华文仿宋" w:hAnsi="华文仿宋" w:eastAsia="华文仿宋"/>
                <w:position w:val="-6"/>
                <w:sz w:val="24"/>
              </w:rPr>
              <w:object>
                <v:shape id="_x0000_i1041" o:spt="75" type="#_x0000_t75" style="height:13.5pt;width:7.5pt;" o:ole="t" filled="f" o:preferrelative="t" stroked="f" coordsize="21600,21600">
                  <v:path/>
                  <v:fill on="f" focussize="0,0"/>
                  <v:stroke on="f" joinstyle="miter"/>
                  <v:imagedata r:id="rId37" o:title=""/>
                  <o:lock v:ext="edit" aspectratio="t"/>
                  <w10:wrap type="none"/>
                  <w10:anchorlock/>
                </v:shape>
                <o:OLEObject Type="Embed" ProgID="Equation.DSMT4" ShapeID="_x0000_i1041" DrawAspect="Content" ObjectID="_1468075741" r:id="rId40">
                  <o:LockedField>false</o:LockedField>
                </o:OLEObject>
              </w:object>
            </w:r>
            <w:r>
              <w:rPr>
                <w:rFonts w:hint="eastAsia" w:ascii="华文仿宋" w:hAnsi="华文仿宋" w:eastAsia="华文仿宋"/>
                <w:kern w:val="0"/>
                <w:sz w:val="24"/>
              </w:rPr>
              <w:t>元素比</w:t>
            </w:r>
            <w:r>
              <w:rPr>
                <w:rFonts w:ascii="华文仿宋" w:hAnsi="华文仿宋" w:eastAsia="华文仿宋"/>
                <w:position w:val="-10"/>
                <w:sz w:val="24"/>
              </w:rPr>
              <w:object>
                <v:shape id="_x0000_i1042" o:spt="75" type="#_x0000_t75" style="height:15pt;width:10.5pt;" o:ole="t" filled="f" o:preferrelative="t" stroked="f" coordsize="21600,21600">
                  <v:path/>
                  <v:fill on="f" focussize="0,0"/>
                  <v:stroke on="f" joinstyle="miter"/>
                  <v:imagedata r:id="rId39" o:title=""/>
                  <o:lock v:ext="edit" aspectratio="t"/>
                  <w10:wrap type="none"/>
                  <w10:anchorlock/>
                </v:shape>
                <o:OLEObject Type="Embed" ProgID="Equation.DSMT4" ShapeID="_x0000_i1042" DrawAspect="Content" ObjectID="_1468075742" r:id="rId41">
                  <o:LockedField>false</o:LockedField>
                </o:OLEObject>
              </w:object>
            </w:r>
            <w:r>
              <w:rPr>
                <w:rFonts w:hint="eastAsia" w:ascii="华文仿宋" w:hAnsi="华文仿宋" w:eastAsia="华文仿宋"/>
                <w:kern w:val="0"/>
                <w:sz w:val="24"/>
              </w:rPr>
              <w:t>元素明显重要</w:t>
            </w:r>
          </w:p>
        </w:tc>
        <w:tc>
          <w:tcPr>
            <w:tcW w:w="2064" w:type="dxa"/>
          </w:tcPr>
          <w:p w14:paraId="47DF44E8">
            <w:pPr>
              <w:ind w:firstLine="400"/>
              <w:jc w:val="center"/>
              <w:rPr>
                <w:rFonts w:ascii="华文仿宋" w:hAnsi="华文仿宋" w:eastAsia="华文仿宋"/>
                <w:kern w:val="0"/>
                <w:sz w:val="24"/>
              </w:rPr>
            </w:pPr>
            <w:r>
              <w:rPr>
                <w:rFonts w:hint="eastAsia" w:ascii="华文仿宋" w:hAnsi="华文仿宋" w:eastAsia="华文仿宋"/>
                <w:kern w:val="0"/>
                <w:sz w:val="24"/>
              </w:rPr>
              <w:t>3</w:t>
            </w:r>
          </w:p>
        </w:tc>
      </w:tr>
      <w:tr w14:paraId="1DD64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Pr>
          <w:p w14:paraId="6153BF31">
            <w:pPr>
              <w:ind w:firstLine="400"/>
              <w:jc w:val="center"/>
              <w:rPr>
                <w:rFonts w:ascii="华文仿宋" w:hAnsi="华文仿宋" w:eastAsia="华文仿宋"/>
                <w:kern w:val="0"/>
                <w:sz w:val="24"/>
              </w:rPr>
            </w:pPr>
            <w:r>
              <w:rPr>
                <w:rFonts w:hint="eastAsia" w:ascii="华文仿宋" w:hAnsi="华文仿宋" w:eastAsia="华文仿宋"/>
                <w:kern w:val="0"/>
                <w:sz w:val="24"/>
              </w:rPr>
              <w:t>4</w:t>
            </w:r>
          </w:p>
        </w:tc>
        <w:tc>
          <w:tcPr>
            <w:tcW w:w="3969" w:type="dxa"/>
          </w:tcPr>
          <w:p w14:paraId="7325CF80">
            <w:pPr>
              <w:ind w:firstLine="480"/>
              <w:jc w:val="center"/>
              <w:rPr>
                <w:rFonts w:ascii="华文仿宋" w:hAnsi="华文仿宋" w:eastAsia="华文仿宋"/>
                <w:kern w:val="0"/>
                <w:sz w:val="24"/>
              </w:rPr>
            </w:pPr>
            <w:r>
              <w:rPr>
                <w:rFonts w:ascii="华文仿宋" w:hAnsi="华文仿宋" w:eastAsia="华文仿宋"/>
                <w:position w:val="-6"/>
                <w:sz w:val="24"/>
              </w:rPr>
              <w:object>
                <v:shape id="_x0000_i1043" o:spt="75" type="#_x0000_t75" style="height:13.5pt;width:7.5pt;" o:ole="t" filled="f" o:preferrelative="t" stroked="f" coordsize="21600,21600">
                  <v:path/>
                  <v:fill on="f" focussize="0,0"/>
                  <v:stroke on="f" joinstyle="miter"/>
                  <v:imagedata r:id="rId37" o:title=""/>
                  <o:lock v:ext="edit" aspectratio="t"/>
                  <w10:wrap type="none"/>
                  <w10:anchorlock/>
                </v:shape>
                <o:OLEObject Type="Embed" ProgID="Equation.DSMT4" ShapeID="_x0000_i1043" DrawAspect="Content" ObjectID="_1468075743" r:id="rId42">
                  <o:LockedField>false</o:LockedField>
                </o:OLEObject>
              </w:object>
            </w:r>
            <w:r>
              <w:rPr>
                <w:rFonts w:hint="eastAsia" w:ascii="华文仿宋" w:hAnsi="华文仿宋" w:eastAsia="华文仿宋"/>
                <w:kern w:val="0"/>
                <w:sz w:val="24"/>
              </w:rPr>
              <w:t>元素比</w:t>
            </w:r>
            <w:r>
              <w:rPr>
                <w:rFonts w:ascii="华文仿宋" w:hAnsi="华文仿宋" w:eastAsia="华文仿宋"/>
                <w:position w:val="-10"/>
                <w:sz w:val="24"/>
              </w:rPr>
              <w:object>
                <v:shape id="_x0000_i1044" o:spt="75" type="#_x0000_t75" style="height:15pt;width:10.5pt;" o:ole="t" filled="f" o:preferrelative="t" stroked="f" coordsize="21600,21600">
                  <v:path/>
                  <v:fill on="f" focussize="0,0"/>
                  <v:stroke on="f" joinstyle="miter"/>
                  <v:imagedata r:id="rId39" o:title=""/>
                  <o:lock v:ext="edit" aspectratio="t"/>
                  <w10:wrap type="none"/>
                  <w10:anchorlock/>
                </v:shape>
                <o:OLEObject Type="Embed" ProgID="Equation.DSMT4" ShapeID="_x0000_i1044" DrawAspect="Content" ObjectID="_1468075744" r:id="rId43">
                  <o:LockedField>false</o:LockedField>
                </o:OLEObject>
              </w:object>
            </w:r>
            <w:r>
              <w:rPr>
                <w:rFonts w:hint="eastAsia" w:ascii="华文仿宋" w:hAnsi="华文仿宋" w:eastAsia="华文仿宋"/>
                <w:kern w:val="0"/>
                <w:sz w:val="24"/>
              </w:rPr>
              <w:t>元素强烈重要</w:t>
            </w:r>
          </w:p>
        </w:tc>
        <w:tc>
          <w:tcPr>
            <w:tcW w:w="2064" w:type="dxa"/>
          </w:tcPr>
          <w:p w14:paraId="5AB89913">
            <w:pPr>
              <w:ind w:firstLine="400"/>
              <w:jc w:val="center"/>
              <w:rPr>
                <w:rFonts w:ascii="华文仿宋" w:hAnsi="华文仿宋" w:eastAsia="华文仿宋"/>
                <w:kern w:val="0"/>
                <w:sz w:val="24"/>
              </w:rPr>
            </w:pPr>
            <w:r>
              <w:rPr>
                <w:rFonts w:hint="eastAsia" w:ascii="华文仿宋" w:hAnsi="华文仿宋" w:eastAsia="华文仿宋"/>
                <w:kern w:val="0"/>
                <w:sz w:val="24"/>
              </w:rPr>
              <w:t>4</w:t>
            </w:r>
          </w:p>
        </w:tc>
      </w:tr>
      <w:tr w14:paraId="7D63D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Pr>
          <w:p w14:paraId="08D20BA1">
            <w:pPr>
              <w:ind w:firstLine="400"/>
              <w:jc w:val="center"/>
              <w:rPr>
                <w:rFonts w:ascii="华文仿宋" w:hAnsi="华文仿宋" w:eastAsia="华文仿宋"/>
                <w:kern w:val="0"/>
                <w:sz w:val="24"/>
              </w:rPr>
            </w:pPr>
            <w:r>
              <w:rPr>
                <w:rFonts w:hint="eastAsia" w:ascii="华文仿宋" w:hAnsi="华文仿宋" w:eastAsia="华文仿宋"/>
                <w:kern w:val="0"/>
                <w:sz w:val="24"/>
              </w:rPr>
              <w:t>5</w:t>
            </w:r>
          </w:p>
        </w:tc>
        <w:tc>
          <w:tcPr>
            <w:tcW w:w="3969" w:type="dxa"/>
          </w:tcPr>
          <w:p w14:paraId="529E5167">
            <w:pPr>
              <w:ind w:firstLine="480"/>
              <w:jc w:val="center"/>
              <w:rPr>
                <w:rFonts w:ascii="华文仿宋" w:hAnsi="华文仿宋" w:eastAsia="华文仿宋"/>
                <w:kern w:val="0"/>
                <w:sz w:val="24"/>
              </w:rPr>
            </w:pPr>
            <w:r>
              <w:rPr>
                <w:rFonts w:ascii="华文仿宋" w:hAnsi="华文仿宋" w:eastAsia="华文仿宋"/>
                <w:position w:val="-6"/>
                <w:sz w:val="24"/>
              </w:rPr>
              <w:object>
                <v:shape id="_x0000_i1045" o:spt="75" type="#_x0000_t75" style="height:13.5pt;width:7.5pt;" o:ole="t" filled="f" o:preferrelative="t" stroked="f" coordsize="21600,21600">
                  <v:path/>
                  <v:fill on="f" focussize="0,0"/>
                  <v:stroke on="f" joinstyle="miter"/>
                  <v:imagedata r:id="rId37" o:title=""/>
                  <o:lock v:ext="edit" aspectratio="t"/>
                  <w10:wrap type="none"/>
                  <w10:anchorlock/>
                </v:shape>
                <o:OLEObject Type="Embed" ProgID="Equation.DSMT4" ShapeID="_x0000_i1045" DrawAspect="Content" ObjectID="_1468075745" r:id="rId44">
                  <o:LockedField>false</o:LockedField>
                </o:OLEObject>
              </w:object>
            </w:r>
            <w:r>
              <w:rPr>
                <w:rFonts w:hint="eastAsia" w:ascii="华文仿宋" w:hAnsi="华文仿宋" w:eastAsia="华文仿宋"/>
                <w:kern w:val="0"/>
                <w:sz w:val="24"/>
              </w:rPr>
              <w:t>元素比</w:t>
            </w:r>
            <w:r>
              <w:rPr>
                <w:rFonts w:ascii="华文仿宋" w:hAnsi="华文仿宋" w:eastAsia="华文仿宋"/>
                <w:position w:val="-10"/>
                <w:sz w:val="24"/>
              </w:rPr>
              <w:object>
                <v:shape id="_x0000_i1046" o:spt="75" type="#_x0000_t75" style="height:15pt;width:10.5pt;" o:ole="t" filled="f" o:preferrelative="t" stroked="f" coordsize="21600,21600">
                  <v:path/>
                  <v:fill on="f" focussize="0,0"/>
                  <v:stroke on="f" joinstyle="miter"/>
                  <v:imagedata r:id="rId39" o:title=""/>
                  <o:lock v:ext="edit" aspectratio="t"/>
                  <w10:wrap type="none"/>
                  <w10:anchorlock/>
                </v:shape>
                <o:OLEObject Type="Embed" ProgID="Equation.DSMT4" ShapeID="_x0000_i1046" DrawAspect="Content" ObjectID="_1468075746" r:id="rId45">
                  <o:LockedField>false</o:LockedField>
                </o:OLEObject>
              </w:object>
            </w:r>
            <w:r>
              <w:rPr>
                <w:rFonts w:hint="eastAsia" w:ascii="华文仿宋" w:hAnsi="华文仿宋" w:eastAsia="华文仿宋"/>
                <w:kern w:val="0"/>
                <w:sz w:val="24"/>
              </w:rPr>
              <w:t>元素极端重要</w:t>
            </w:r>
          </w:p>
        </w:tc>
        <w:tc>
          <w:tcPr>
            <w:tcW w:w="2064" w:type="dxa"/>
          </w:tcPr>
          <w:p w14:paraId="661CE741">
            <w:pPr>
              <w:ind w:firstLine="400"/>
              <w:jc w:val="center"/>
              <w:rPr>
                <w:rFonts w:ascii="华文仿宋" w:hAnsi="华文仿宋" w:eastAsia="华文仿宋"/>
                <w:kern w:val="0"/>
                <w:sz w:val="24"/>
              </w:rPr>
            </w:pPr>
            <w:r>
              <w:rPr>
                <w:rFonts w:hint="eastAsia" w:ascii="华文仿宋" w:hAnsi="华文仿宋" w:eastAsia="华文仿宋"/>
                <w:kern w:val="0"/>
                <w:sz w:val="24"/>
              </w:rPr>
              <w:t>5</w:t>
            </w:r>
          </w:p>
        </w:tc>
      </w:tr>
    </w:tbl>
    <w:p w14:paraId="5E997346">
      <w:pPr>
        <w:spacing w:line="360" w:lineRule="auto"/>
        <w:ind w:firstLine="420" w:firstLineChars="150"/>
        <w:rPr>
          <w:rFonts w:ascii="华文仿宋" w:hAnsi="华文仿宋" w:eastAsia="华文仿宋"/>
          <w:sz w:val="28"/>
          <w:szCs w:val="28"/>
        </w:rPr>
      </w:pPr>
      <w:r>
        <w:rPr>
          <w:rFonts w:hint="eastAsia" w:ascii="华文仿宋" w:hAnsi="华文仿宋" w:eastAsia="华文仿宋"/>
          <w:sz w:val="28"/>
          <w:szCs w:val="28"/>
        </w:rPr>
        <w:t>（3）指标权重计算</w:t>
      </w:r>
    </w:p>
    <w:p w14:paraId="5E21A46F">
      <w:pPr>
        <w:spacing w:line="360" w:lineRule="auto"/>
        <w:ind w:firstLine="480"/>
        <w:rPr>
          <w:rFonts w:ascii="华文仿宋" w:hAnsi="华文仿宋" w:eastAsia="华文仿宋"/>
          <w:sz w:val="28"/>
          <w:szCs w:val="28"/>
        </w:rPr>
      </w:pPr>
      <w:r>
        <w:rPr>
          <w:rFonts w:ascii="华文仿宋" w:hAnsi="华文仿宋" w:eastAsia="华文仿宋"/>
          <w:sz w:val="28"/>
          <w:szCs w:val="28"/>
        </w:rPr>
        <w:t>a)计算判断矩阵每一行元素的乘积</w:t>
      </w:r>
      <w:r>
        <w:rPr>
          <w:rFonts w:ascii="华文仿宋" w:hAnsi="华文仿宋" w:eastAsia="华文仿宋"/>
          <w:position w:val="-32"/>
          <w:sz w:val="28"/>
          <w:szCs w:val="28"/>
        </w:rPr>
        <w:object>
          <v:shape id="_x0000_i1047" o:spt="75" type="#_x0000_t75" style="height:36pt;width:51.75pt;" o:ole="t" filled="f" o:preferrelative="t" stroked="f" coordsize="21600,21600">
            <v:path/>
            <v:fill on="f" focussize="0,0"/>
            <v:stroke on="f" joinstyle="miter"/>
            <v:imagedata r:id="rId47" o:title=""/>
            <o:lock v:ext="edit" aspectratio="t"/>
            <w10:wrap type="none"/>
            <w10:anchorlock/>
          </v:shape>
          <o:OLEObject Type="Embed" ProgID="Equation.DSMT4" ShapeID="_x0000_i1047" DrawAspect="Content" ObjectID="_1468075747" r:id="rId46">
            <o:LockedField>false</o:LockedField>
          </o:OLEObject>
        </w:object>
      </w:r>
    </w:p>
    <w:p w14:paraId="461803FC">
      <w:pPr>
        <w:spacing w:line="360" w:lineRule="auto"/>
        <w:ind w:firstLine="480"/>
        <w:rPr>
          <w:rFonts w:ascii="华文仿宋" w:hAnsi="华文仿宋" w:eastAsia="华文仿宋"/>
          <w:sz w:val="28"/>
          <w:szCs w:val="28"/>
        </w:rPr>
      </w:pPr>
      <w:r>
        <w:rPr>
          <w:rFonts w:ascii="华文仿宋" w:hAnsi="华文仿宋" w:eastAsia="华文仿宋"/>
          <w:sz w:val="28"/>
          <w:szCs w:val="28"/>
        </w:rPr>
        <w:t>b)对</w:t>
      </w:r>
      <w:r>
        <w:rPr>
          <w:rFonts w:ascii="华文仿宋" w:hAnsi="华文仿宋" w:eastAsia="华文仿宋"/>
          <w:position w:val="-12"/>
          <w:sz w:val="28"/>
          <w:szCs w:val="28"/>
        </w:rPr>
        <w:object>
          <v:shape id="_x0000_i1048" o:spt="75" type="#_x0000_t75" style="height:18pt;width:11.25pt;" o:ole="t" filled="f" o:preferrelative="t" stroked="f" coordsize="21600,21600">
            <v:path/>
            <v:fill on="f" focussize="0,0"/>
            <v:stroke on="f" joinstyle="miter"/>
            <v:imagedata r:id="rId49" o:title=""/>
            <o:lock v:ext="edit" aspectratio="t"/>
            <w10:wrap type="none"/>
            <w10:anchorlock/>
          </v:shape>
          <o:OLEObject Type="Embed" ProgID="Equation.DSMT4" ShapeID="_x0000_i1048" DrawAspect="Content" ObjectID="_1468075748" r:id="rId48">
            <o:LockedField>false</o:LockedField>
          </o:OLEObject>
        </w:object>
      </w:r>
      <w:r>
        <w:rPr>
          <w:rFonts w:ascii="华文仿宋" w:hAnsi="华文仿宋" w:eastAsia="华文仿宋"/>
          <w:sz w:val="28"/>
          <w:szCs w:val="28"/>
        </w:rPr>
        <w:t>开</w:t>
      </w:r>
      <w:r>
        <w:rPr>
          <w:rFonts w:ascii="华文仿宋" w:hAnsi="华文仿宋" w:eastAsia="华文仿宋"/>
          <w:position w:val="-6"/>
          <w:sz w:val="28"/>
          <w:szCs w:val="28"/>
        </w:rPr>
        <w:object>
          <v:shape id="_x0000_i1049" o:spt="75" type="#_x0000_t75" style="height:11.25pt;width:10.5pt;" o:ole="t" filled="f" o:preferrelative="t" stroked="f" coordsize="21600,21600">
            <v:path/>
            <v:fill on="f" focussize="0,0"/>
            <v:stroke on="f" joinstyle="miter"/>
            <v:imagedata r:id="rId51" o:title=""/>
            <o:lock v:ext="edit" aspectratio="t"/>
            <w10:wrap type="none"/>
            <w10:anchorlock/>
          </v:shape>
          <o:OLEObject Type="Embed" ProgID="Equation.DSMT4" ShapeID="_x0000_i1049" DrawAspect="Content" ObjectID="_1468075749" r:id="rId50">
            <o:LockedField>false</o:LockedField>
          </o:OLEObject>
        </w:object>
      </w:r>
      <w:r>
        <w:rPr>
          <w:rFonts w:ascii="华文仿宋" w:hAnsi="华文仿宋" w:eastAsia="华文仿宋"/>
          <w:sz w:val="28"/>
          <w:szCs w:val="28"/>
        </w:rPr>
        <w:t>次方得到的权重</w:t>
      </w:r>
      <w:r>
        <w:rPr>
          <w:rFonts w:ascii="华文仿宋" w:hAnsi="华文仿宋" w:eastAsia="华文仿宋"/>
          <w:position w:val="-12"/>
          <w:sz w:val="28"/>
          <w:szCs w:val="28"/>
        </w:rPr>
        <w:object>
          <v:shape id="_x0000_i1050" o:spt="75" type="#_x0000_t75" style="height:19.5pt;width:12pt;" o:ole="t" filled="f" o:preferrelative="t" stroked="f" coordsize="21600,21600">
            <v:path/>
            <v:fill on="f" focussize="0,0"/>
            <v:stroke on="f" joinstyle="miter"/>
            <v:imagedata r:id="rId53" o:title=""/>
            <o:lock v:ext="edit" aspectratio="t"/>
            <w10:wrap type="none"/>
            <w10:anchorlock/>
          </v:shape>
          <o:OLEObject Type="Embed" ProgID="Equation.DSMT4" ShapeID="_x0000_i1050" DrawAspect="Content" ObjectID="_1468075750" r:id="rId52">
            <o:LockedField>false</o:LockedField>
          </o:OLEObject>
        </w:object>
      </w:r>
      <w:r>
        <w:rPr>
          <w:rFonts w:hint="eastAsia" w:ascii="华文仿宋" w:hAnsi="华文仿宋" w:eastAsia="华文仿宋"/>
          <w:sz w:val="28"/>
          <w:szCs w:val="28"/>
        </w:rPr>
        <w:t>，</w:t>
      </w:r>
      <w:r>
        <w:rPr>
          <w:rFonts w:ascii="华文仿宋" w:hAnsi="华文仿宋" w:eastAsia="华文仿宋"/>
          <w:sz w:val="28"/>
          <w:szCs w:val="28"/>
        </w:rPr>
        <w:t>经归一化得到各元素的权重</w:t>
      </w:r>
      <w:r>
        <w:rPr>
          <w:rFonts w:ascii="华文仿宋" w:hAnsi="华文仿宋" w:eastAsia="华文仿宋"/>
          <w:position w:val="-28"/>
          <w:sz w:val="28"/>
          <w:szCs w:val="28"/>
        </w:rPr>
        <w:object>
          <v:shape id="_x0000_i1051" o:spt="75" type="#_x0000_t75" style="height:34.5pt;width:108.75pt;" o:ole="t" filled="f" o:preferrelative="t" stroked="f" coordsize="21600,21600">
            <v:path/>
            <v:fill on="f" focussize="0,0"/>
            <v:stroke on="f" joinstyle="miter"/>
            <v:imagedata r:id="rId55" o:title=""/>
            <o:lock v:ext="edit" aspectratio="t"/>
            <w10:wrap type="none"/>
            <w10:anchorlock/>
          </v:shape>
          <o:OLEObject Type="Embed" ProgID="Equation.DSMT4" ShapeID="_x0000_i1051" DrawAspect="Content" ObjectID="_1468075751" r:id="rId54">
            <o:LockedField>false</o:LockedField>
          </o:OLEObject>
        </w:object>
      </w:r>
    </w:p>
    <w:p w14:paraId="03F9B989">
      <w:pPr>
        <w:spacing w:line="360" w:lineRule="auto"/>
        <w:ind w:firstLine="480"/>
        <w:rPr>
          <w:rFonts w:ascii="华文仿宋" w:hAnsi="华文仿宋" w:eastAsia="华文仿宋"/>
          <w:sz w:val="28"/>
          <w:szCs w:val="28"/>
        </w:rPr>
      </w:pPr>
      <w:r>
        <w:rPr>
          <w:rFonts w:hint="eastAsia" w:ascii="华文仿宋" w:hAnsi="华文仿宋" w:eastAsia="华文仿宋"/>
          <w:sz w:val="28"/>
          <w:szCs w:val="28"/>
        </w:rPr>
        <w:t>c</w:t>
      </w:r>
      <w:r>
        <w:rPr>
          <w:rFonts w:ascii="华文仿宋" w:hAnsi="华文仿宋" w:eastAsia="华文仿宋"/>
          <w:sz w:val="28"/>
          <w:szCs w:val="28"/>
        </w:rPr>
        <w:t xml:space="preserve">)权重向量为: </w:t>
      </w:r>
      <w:r>
        <w:rPr>
          <w:rFonts w:ascii="华文仿宋" w:hAnsi="华文仿宋" w:eastAsia="华文仿宋"/>
          <w:position w:val="-14"/>
          <w:sz w:val="28"/>
          <w:szCs w:val="28"/>
        </w:rPr>
        <w:object>
          <v:shape id="_x0000_i1052" o:spt="75" type="#_x0000_t75" style="height:22.5pt;width:96pt;" o:ole="t" filled="f" o:preferrelative="t" stroked="f" coordsize="21600,21600">
            <v:path/>
            <v:fill on="f" focussize="0,0"/>
            <v:stroke on="f" joinstyle="miter"/>
            <v:imagedata r:id="rId57" o:title=""/>
            <o:lock v:ext="edit" aspectratio="t"/>
            <w10:wrap type="none"/>
            <w10:anchorlock/>
          </v:shape>
          <o:OLEObject Type="Embed" ProgID="Equation.DSMT4" ShapeID="_x0000_i1052" DrawAspect="Content" ObjectID="_1468075752" r:id="rId56">
            <o:LockedField>false</o:LockedField>
          </o:OLEObject>
        </w:object>
      </w:r>
    </w:p>
    <w:p w14:paraId="057CF2E7">
      <w:pPr>
        <w:spacing w:line="360" w:lineRule="auto"/>
        <w:ind w:firstLine="420" w:firstLineChars="150"/>
        <w:rPr>
          <w:rFonts w:ascii="华文仿宋" w:hAnsi="华文仿宋" w:eastAsia="华文仿宋"/>
          <w:sz w:val="28"/>
          <w:szCs w:val="28"/>
        </w:rPr>
      </w:pPr>
      <w:r>
        <w:rPr>
          <w:rFonts w:hint="eastAsia" w:ascii="华文仿宋" w:hAnsi="华文仿宋" w:eastAsia="华文仿宋"/>
          <w:sz w:val="28"/>
          <w:szCs w:val="28"/>
        </w:rPr>
        <w:t>（4）</w:t>
      </w:r>
      <w:r>
        <w:rPr>
          <w:rFonts w:ascii="华文仿宋" w:hAnsi="华文仿宋" w:eastAsia="华文仿宋"/>
          <w:sz w:val="28"/>
          <w:szCs w:val="28"/>
        </w:rPr>
        <w:t>层次单排序及一致性检验</w:t>
      </w:r>
    </w:p>
    <w:p w14:paraId="44FD6826">
      <w:pPr>
        <w:spacing w:line="360" w:lineRule="auto"/>
        <w:ind w:firstLine="480"/>
        <w:jc w:val="left"/>
        <w:rPr>
          <w:rFonts w:ascii="华文仿宋" w:hAnsi="华文仿宋" w:eastAsia="华文仿宋"/>
          <w:sz w:val="28"/>
          <w:szCs w:val="28"/>
        </w:rPr>
      </w:pPr>
      <w:r>
        <w:rPr>
          <w:rFonts w:ascii="华文仿宋" w:hAnsi="华文仿宋" w:eastAsia="华文仿宋"/>
          <w:sz w:val="28"/>
          <w:szCs w:val="28"/>
        </w:rPr>
        <w:t>正互反矩阵</w:t>
      </w:r>
      <w:r>
        <w:rPr>
          <w:rFonts w:ascii="华文仿宋" w:hAnsi="华文仿宋" w:eastAsia="华文仿宋"/>
          <w:position w:val="-4"/>
          <w:sz w:val="28"/>
          <w:szCs w:val="28"/>
        </w:rPr>
        <w:object>
          <v:shape id="_x0000_i1053" o:spt="75" type="#_x0000_t75" style="height:13.5pt;width:12pt;" o:ole="t" filled="f" o:preferrelative="t" stroked="f" coordsize="21600,21600">
            <v:path/>
            <v:fill on="f" focussize="0,0"/>
            <v:stroke on="f" joinstyle="miter"/>
            <v:imagedata r:id="rId59" o:title=""/>
            <o:lock v:ext="edit" aspectratio="t"/>
            <w10:wrap type="none"/>
            <w10:anchorlock/>
          </v:shape>
          <o:OLEObject Type="Embed" ProgID="Equation.DSMT4" ShapeID="_x0000_i1053" DrawAspect="Content" ObjectID="_1468075753" r:id="rId58">
            <o:LockedField>false</o:LockedField>
          </o:OLEObject>
        </w:object>
      </w:r>
      <w:r>
        <w:rPr>
          <w:rFonts w:ascii="华文仿宋" w:hAnsi="华文仿宋" w:eastAsia="华文仿宋"/>
          <w:sz w:val="28"/>
          <w:szCs w:val="28"/>
        </w:rPr>
        <w:t>的特征值可以衡量同层的因素在对上一目标的影响中所占到的</w:t>
      </w:r>
      <w:r>
        <w:rPr>
          <w:rFonts w:hint="eastAsia" w:ascii="华文仿宋" w:hAnsi="华文仿宋" w:eastAsia="华文仿宋"/>
          <w:sz w:val="28"/>
          <w:szCs w:val="28"/>
        </w:rPr>
        <w:t>比重，矩阵</w:t>
      </w:r>
      <w:r>
        <w:rPr>
          <w:rFonts w:ascii="华文仿宋" w:hAnsi="华文仿宋" w:eastAsia="华文仿宋"/>
          <w:position w:val="-4"/>
          <w:sz w:val="28"/>
          <w:szCs w:val="28"/>
        </w:rPr>
        <w:object>
          <v:shape id="_x0000_i1054" o:spt="75" type="#_x0000_t75" style="height:13.5pt;width:12pt;" o:ole="t" filled="f" o:preferrelative="t" stroked="f" coordsize="21600,21600">
            <v:path/>
            <v:fill on="f" focussize="0,0"/>
            <v:stroke on="f" joinstyle="miter"/>
            <v:imagedata r:id="rId59" o:title=""/>
            <o:lock v:ext="edit" aspectratio="t"/>
            <w10:wrap type="none"/>
            <w10:anchorlock/>
          </v:shape>
          <o:OLEObject Type="Embed" ProgID="Equation.DSMT4" ShapeID="_x0000_i1054" DrawAspect="Content" ObjectID="_1468075754" r:id="rId60">
            <o:LockedField>false</o:LockedField>
          </o:OLEObject>
        </w:object>
      </w:r>
      <w:r>
        <w:rPr>
          <w:rFonts w:ascii="华文仿宋" w:hAnsi="华文仿宋" w:eastAsia="华文仿宋"/>
          <w:sz w:val="28"/>
          <w:szCs w:val="28"/>
        </w:rPr>
        <w:t xml:space="preserve">的最大特征值与权重向量的“和法”计算公式为: </w:t>
      </w:r>
    </w:p>
    <w:p w14:paraId="2DA632D1">
      <w:pPr>
        <w:spacing w:line="360" w:lineRule="auto"/>
        <w:ind w:firstLine="480"/>
        <w:jc w:val="center"/>
        <w:rPr>
          <w:rFonts w:ascii="华文仿宋" w:hAnsi="华文仿宋" w:eastAsia="华文仿宋"/>
          <w:sz w:val="28"/>
          <w:szCs w:val="28"/>
        </w:rPr>
      </w:pPr>
    </w:p>
    <w:p w14:paraId="2A608309">
      <w:pPr>
        <w:spacing w:line="360" w:lineRule="auto"/>
        <w:ind w:firstLine="480"/>
        <w:jc w:val="center"/>
        <w:rPr>
          <w:rFonts w:ascii="华文仿宋" w:hAnsi="华文仿宋" w:eastAsia="华文仿宋"/>
          <w:sz w:val="28"/>
          <w:szCs w:val="28"/>
        </w:rPr>
      </w:pPr>
      <w:r>
        <w:rPr>
          <w:rFonts w:ascii="华文仿宋" w:hAnsi="华文仿宋" w:eastAsia="华文仿宋"/>
          <w:position w:val="-62"/>
          <w:sz w:val="28"/>
          <w:szCs w:val="28"/>
        </w:rPr>
        <w:object>
          <v:shape id="_x0000_i1055" o:spt="75" type="#_x0000_t75" style="height:67.5pt;width:214.5pt;" o:ole="t" filled="f" o:preferrelative="t" stroked="f" coordsize="21600,21600">
            <v:path/>
            <v:fill on="f" focussize="0,0"/>
            <v:stroke on="f" joinstyle="miter"/>
            <v:imagedata r:id="rId62" o:title=""/>
            <o:lock v:ext="edit" aspectratio="t"/>
            <w10:wrap type="none"/>
            <w10:anchorlock/>
          </v:shape>
          <o:OLEObject Type="Embed" ProgID="Equation.DSMT4" ShapeID="_x0000_i1055" DrawAspect="Content" ObjectID="_1468075755" r:id="rId61">
            <o:LockedField>false</o:LockedField>
          </o:OLEObject>
        </w:object>
      </w:r>
    </w:p>
    <w:p w14:paraId="5AF7FB87">
      <w:pPr>
        <w:spacing w:line="360" w:lineRule="auto"/>
        <w:ind w:firstLine="480"/>
        <w:jc w:val="left"/>
        <w:rPr>
          <w:rFonts w:ascii="华文仿宋" w:hAnsi="华文仿宋" w:eastAsia="华文仿宋"/>
          <w:sz w:val="28"/>
          <w:szCs w:val="28"/>
        </w:rPr>
      </w:pPr>
      <w:r>
        <w:rPr>
          <w:rFonts w:hint="eastAsia" w:ascii="华文仿宋" w:hAnsi="华文仿宋" w:eastAsia="华文仿宋"/>
          <w:sz w:val="28"/>
          <w:szCs w:val="28"/>
        </w:rPr>
        <w:t>当</w:t>
      </w:r>
      <w:r>
        <w:rPr>
          <w:rFonts w:ascii="华文仿宋" w:hAnsi="华文仿宋" w:eastAsia="华文仿宋"/>
          <w:position w:val="-12"/>
          <w:sz w:val="28"/>
          <w:szCs w:val="28"/>
        </w:rPr>
        <w:object>
          <v:shape id="_x0000_i1056" o:spt="75" type="#_x0000_t75" style="height:18pt;width:42pt;" o:ole="t" filled="f" o:preferrelative="t" stroked="f" coordsize="21600,21600">
            <v:path/>
            <v:fill on="f" focussize="0,0"/>
            <v:stroke on="f" joinstyle="miter"/>
            <v:imagedata r:id="rId64" o:title=""/>
            <o:lock v:ext="edit" aspectratio="t"/>
            <w10:wrap type="none"/>
            <w10:anchorlock/>
          </v:shape>
          <o:OLEObject Type="Embed" ProgID="Equation.DSMT4" ShapeID="_x0000_i1056" DrawAspect="Content" ObjectID="_1468075756" r:id="rId63">
            <o:LockedField>false</o:LockedField>
          </o:OLEObject>
        </w:object>
      </w:r>
      <w:r>
        <w:rPr>
          <w:rFonts w:ascii="华文仿宋" w:hAnsi="华文仿宋" w:eastAsia="华文仿宋"/>
          <w:sz w:val="28"/>
          <w:szCs w:val="28"/>
        </w:rPr>
        <w:t>时说明</w:t>
      </w:r>
      <w:r>
        <w:rPr>
          <w:rFonts w:ascii="华文仿宋" w:hAnsi="华文仿宋" w:eastAsia="华文仿宋"/>
          <w:position w:val="-4"/>
          <w:sz w:val="28"/>
          <w:szCs w:val="28"/>
        </w:rPr>
        <w:object>
          <v:shape id="_x0000_i1057" o:spt="75" type="#_x0000_t75" style="height:13.5pt;width:12pt;" o:ole="t" filled="f" o:preferrelative="t" stroked="f" coordsize="21600,21600">
            <v:path/>
            <v:fill on="f" focussize="0,0"/>
            <v:stroke on="f" joinstyle="miter"/>
            <v:imagedata r:id="rId59" o:title=""/>
            <o:lock v:ext="edit" aspectratio="t"/>
            <w10:wrap type="none"/>
            <w10:anchorlock/>
          </v:shape>
          <o:OLEObject Type="Embed" ProgID="Equation.DSMT4" ShapeID="_x0000_i1057" DrawAspect="Content" ObjectID="_1468075757" r:id="rId65">
            <o:LockedField>false</o:LockedField>
          </o:OLEObject>
        </w:object>
      </w:r>
      <w:r>
        <w:rPr>
          <w:rFonts w:ascii="华文仿宋" w:hAnsi="华文仿宋" w:eastAsia="华文仿宋"/>
          <w:sz w:val="28"/>
          <w:szCs w:val="28"/>
        </w:rPr>
        <w:t>不一致</w:t>
      </w:r>
      <w:r>
        <w:rPr>
          <w:rFonts w:hint="eastAsia" w:ascii="华文仿宋" w:hAnsi="华文仿宋" w:eastAsia="华文仿宋"/>
          <w:sz w:val="28"/>
          <w:szCs w:val="28"/>
        </w:rPr>
        <w:t>，</w:t>
      </w:r>
      <w:r>
        <w:rPr>
          <w:rFonts w:ascii="华文仿宋" w:hAnsi="华文仿宋" w:eastAsia="华文仿宋"/>
          <w:position w:val="-4"/>
          <w:sz w:val="28"/>
          <w:szCs w:val="28"/>
        </w:rPr>
        <w:object>
          <v:shape id="_x0000_i1058" o:spt="75" type="#_x0000_t75" style="height:13.5pt;width:12pt;" o:ole="t" filled="f" o:preferrelative="t" stroked="f" coordsize="21600,21600">
            <v:path/>
            <v:fill on="f" focussize="0,0"/>
            <v:stroke on="f" joinstyle="miter"/>
            <v:imagedata r:id="rId59" o:title=""/>
            <o:lock v:ext="edit" aspectratio="t"/>
            <w10:wrap type="none"/>
            <w10:anchorlock/>
          </v:shape>
          <o:OLEObject Type="Embed" ProgID="Equation.DSMT4" ShapeID="_x0000_i1058" DrawAspect="Content" ObjectID="_1468075758" r:id="rId66">
            <o:LockedField>false</o:LockedField>
          </o:OLEObject>
        </w:object>
      </w:r>
      <w:r>
        <w:rPr>
          <w:rFonts w:hint="eastAsia" w:ascii="华文仿宋" w:hAnsi="华文仿宋" w:eastAsia="华文仿宋"/>
          <w:sz w:val="28"/>
          <w:szCs w:val="28"/>
        </w:rPr>
        <w:t>的不一致性必须控制在既定的范围内，</w:t>
      </w:r>
      <w:r>
        <w:rPr>
          <w:rFonts w:ascii="华文仿宋" w:hAnsi="华文仿宋" w:eastAsia="华文仿宋"/>
          <w:position w:val="-10"/>
          <w:sz w:val="28"/>
          <w:szCs w:val="28"/>
        </w:rPr>
        <w:object>
          <v:shape id="_x0000_i1059" o:spt="75" type="#_x0000_t75" style="height:16.5pt;width:31.5pt;" o:ole="t" filled="f" o:preferrelative="t" stroked="f" coordsize="21600,21600">
            <v:path/>
            <v:fill on="f" focussize="0,0"/>
            <v:stroke on="f" joinstyle="miter"/>
            <v:imagedata r:id="rId68" o:title=""/>
            <o:lock v:ext="edit" aspectratio="t"/>
            <w10:wrap type="none"/>
            <w10:anchorlock/>
          </v:shape>
          <o:OLEObject Type="Embed" ProgID="Equation.DSMT4" ShapeID="_x0000_i1059" DrawAspect="Content" ObjectID="_1468075759" r:id="rId67">
            <o:LockedField>false</o:LockedField>
          </o:OLEObject>
        </w:object>
      </w:r>
      <w:r>
        <w:rPr>
          <w:rFonts w:hint="eastAsia" w:ascii="华文仿宋" w:hAnsi="华文仿宋" w:eastAsia="华文仿宋"/>
          <w:sz w:val="28"/>
          <w:szCs w:val="28"/>
        </w:rPr>
        <w:t>定义了随机性指标：</w:t>
      </w:r>
      <w:r>
        <w:rPr>
          <w:rFonts w:ascii="华文仿宋" w:hAnsi="华文仿宋" w:eastAsia="华文仿宋"/>
          <w:position w:val="-24"/>
          <w:sz w:val="28"/>
          <w:szCs w:val="28"/>
        </w:rPr>
        <w:object>
          <v:shape id="_x0000_i1060" o:spt="75" type="#_x0000_t75" style="height:33pt;width:67.5pt;" o:ole="t" filled="f" o:preferrelative="t" stroked="f" coordsize="21600,21600">
            <v:path/>
            <v:fill on="f" focussize="0,0"/>
            <v:stroke on="f" joinstyle="miter"/>
            <v:imagedata r:id="rId70" o:title=""/>
            <o:lock v:ext="edit" aspectratio="t"/>
            <w10:wrap type="none"/>
            <w10:anchorlock/>
          </v:shape>
          <o:OLEObject Type="Embed" ProgID="Equation.DSMT4" ShapeID="_x0000_i1060" DrawAspect="Content" ObjectID="_1468075760" r:id="rId69">
            <o:LockedField>false</o:LockedField>
          </o:OLEObject>
        </w:object>
      </w:r>
      <w:r>
        <w:rPr>
          <w:rFonts w:hint="eastAsia" w:ascii="华文仿宋" w:hAnsi="华文仿宋" w:eastAsia="华文仿宋"/>
          <w:sz w:val="28"/>
          <w:szCs w:val="28"/>
        </w:rPr>
        <w:t>，用比值</w:t>
      </w:r>
      <w:r>
        <w:rPr>
          <w:rFonts w:ascii="华文仿宋" w:hAnsi="华文仿宋" w:eastAsia="华文仿宋"/>
          <w:position w:val="-6"/>
          <w:sz w:val="28"/>
          <w:szCs w:val="28"/>
        </w:rPr>
        <w:object>
          <v:shape id="_x0000_i1061" o:spt="75" type="#_x0000_t75" style="height:14.25pt;width:64.5pt;" o:ole="t" filled="f" o:preferrelative="t" stroked="f" coordsize="21600,21600">
            <v:path/>
            <v:fill on="f" focussize="0,0"/>
            <v:stroke on="f" joinstyle="miter"/>
            <v:imagedata r:id="rId72" o:title=""/>
            <o:lock v:ext="edit" aspectratio="t"/>
            <w10:wrap type="none"/>
            <w10:anchorlock/>
          </v:shape>
          <o:OLEObject Type="Embed" ProgID="Equation.DSMT4" ShapeID="_x0000_i1061" DrawAspect="Content" ObjectID="_1468075761" r:id="rId71">
            <o:LockedField>false</o:LockedField>
          </o:OLEObject>
        </w:object>
      </w:r>
      <w:r>
        <w:rPr>
          <w:rFonts w:hint="eastAsia" w:ascii="华文仿宋" w:hAnsi="华文仿宋" w:eastAsia="华文仿宋"/>
          <w:sz w:val="28"/>
          <w:szCs w:val="28"/>
        </w:rPr>
        <w:t>来判断正互反矩阵的不一致性是否可以被接受。只有</w:t>
      </w:r>
      <w:r>
        <w:rPr>
          <w:rFonts w:ascii="华文仿宋" w:hAnsi="华文仿宋" w:eastAsia="华文仿宋"/>
          <w:position w:val="-6"/>
          <w:sz w:val="28"/>
          <w:szCs w:val="28"/>
        </w:rPr>
        <w:object>
          <v:shape id="_x0000_i1062" o:spt="75" type="#_x0000_t75" style="height:14.25pt;width:42.75pt;" o:ole="t" filled="f" o:preferrelative="t" stroked="f" coordsize="21600,21600">
            <v:path/>
            <v:fill on="f" focussize="0,0"/>
            <v:stroke on="f" joinstyle="miter"/>
            <v:imagedata r:id="rId74" o:title=""/>
            <o:lock v:ext="edit" aspectratio="t"/>
            <w10:wrap type="none"/>
            <w10:anchorlock/>
          </v:shape>
          <o:OLEObject Type="Embed" ProgID="Equation.DSMT4" ShapeID="_x0000_i1062" DrawAspect="Content" ObjectID="_1468075762" r:id="rId73">
            <o:LockedField>false</o:LockedField>
          </o:OLEObject>
        </w:object>
      </w:r>
      <w:r>
        <w:rPr>
          <w:rFonts w:hint="eastAsia" w:ascii="华文仿宋" w:hAnsi="华文仿宋" w:eastAsia="华文仿宋"/>
          <w:sz w:val="28"/>
          <w:szCs w:val="28"/>
        </w:rPr>
        <w:t>时，说明不一致可以被接受，其中平均随机一致性指标值</w:t>
      </w:r>
      <w:r>
        <w:rPr>
          <w:rFonts w:ascii="华文仿宋" w:hAnsi="华文仿宋" w:eastAsia="华文仿宋"/>
          <w:sz w:val="28"/>
          <w:szCs w:val="28"/>
        </w:rPr>
        <w:object>
          <v:shape id="_x0000_i1063" o:spt="75" type="#_x0000_t75" style="height:14.25pt;width:14.25pt;" o:ole="t" filled="f" o:preferrelative="t" stroked="f" coordsize="21600,21600">
            <v:path/>
            <v:fill on="f" focussize="0,0"/>
            <v:stroke on="f" joinstyle="miter"/>
            <v:imagedata r:id="rId76" o:title=""/>
            <o:lock v:ext="edit" aspectratio="t"/>
            <w10:wrap type="none"/>
            <w10:anchorlock/>
          </v:shape>
          <o:OLEObject Type="Embed" ProgID="Equation.3" ShapeID="_x0000_i1063" DrawAspect="Content" ObjectID="_1468075763" r:id="rId75">
            <o:LockedField>false</o:LockedField>
          </o:OLEObject>
        </w:object>
      </w:r>
      <w:r>
        <w:rPr>
          <w:rFonts w:hint="eastAsia" w:ascii="华文仿宋" w:hAnsi="华文仿宋" w:eastAsia="华文仿宋"/>
          <w:sz w:val="28"/>
          <w:szCs w:val="28"/>
        </w:rPr>
        <w:t>值如表2-5所示。</w:t>
      </w:r>
    </w:p>
    <w:p w14:paraId="5416C7DD">
      <w:pPr>
        <w:spacing w:line="360" w:lineRule="auto"/>
        <w:ind w:firstLine="480"/>
        <w:jc w:val="center"/>
        <w:rPr>
          <w:rFonts w:ascii="华文仿宋" w:hAnsi="华文仿宋" w:eastAsia="华文仿宋"/>
          <w:sz w:val="28"/>
          <w:szCs w:val="28"/>
        </w:rPr>
      </w:pPr>
      <w:r>
        <w:rPr>
          <w:rFonts w:ascii="华文仿宋" w:hAnsi="华文仿宋" w:eastAsia="华文仿宋"/>
          <w:sz w:val="28"/>
          <w:szCs w:val="28"/>
        </w:rPr>
        <w:t>表</w:t>
      </w:r>
      <w:r>
        <w:rPr>
          <w:rFonts w:hint="eastAsia" w:ascii="华文仿宋" w:hAnsi="华文仿宋" w:eastAsia="华文仿宋"/>
          <w:sz w:val="28"/>
          <w:szCs w:val="28"/>
        </w:rPr>
        <w:t>2-4  平均随机一致性指标值</w:t>
      </w:r>
      <w:r>
        <w:rPr>
          <w:rFonts w:ascii="华文仿宋" w:hAnsi="华文仿宋" w:eastAsia="华文仿宋"/>
          <w:sz w:val="28"/>
          <w:szCs w:val="28"/>
        </w:rPr>
        <w:object>
          <v:shape id="_x0000_i1064" o:spt="75" type="#_x0000_t75" style="height:14.25pt;width:14.25pt;" o:ole="t" filled="f" o:preferrelative="t" stroked="f" coordsize="21600,21600">
            <v:path/>
            <v:fill on="f" focussize="0,0"/>
            <v:stroke on="f" joinstyle="miter"/>
            <v:imagedata r:id="rId76" o:title=""/>
            <o:lock v:ext="edit" aspectratio="t"/>
            <w10:wrap type="none"/>
            <w10:anchorlock/>
          </v:shape>
          <o:OLEObject Type="Embed" ProgID="Equation.3" ShapeID="_x0000_i1064" DrawAspect="Content" ObjectID="_1468075764" r:id="rId77">
            <o:LockedField>false</o:LockedField>
          </o:OLEObject>
        </w:object>
      </w:r>
      <w:r>
        <w:rPr>
          <w:rFonts w:hint="eastAsia" w:ascii="华文仿宋" w:hAnsi="华文仿宋" w:eastAsia="华文仿宋"/>
          <w:sz w:val="28"/>
          <w:szCs w:val="28"/>
        </w:rPr>
        <w:t>值</w:t>
      </w:r>
    </w:p>
    <w:tbl>
      <w:tblPr>
        <w:tblStyle w:val="10"/>
        <w:tblW w:w="8522"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17"/>
        <w:gridCol w:w="1217"/>
        <w:gridCol w:w="1217"/>
        <w:gridCol w:w="1217"/>
        <w:gridCol w:w="1218"/>
        <w:gridCol w:w="1218"/>
        <w:gridCol w:w="1218"/>
      </w:tblGrid>
      <w:tr w14:paraId="052B7FC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17" w:type="dxa"/>
            <w:vAlign w:val="center"/>
          </w:tcPr>
          <w:p w14:paraId="3FC6374F">
            <w:pPr>
              <w:pStyle w:val="8"/>
              <w:snapToGrid w:val="0"/>
              <w:ind w:firstLine="420"/>
              <w:jc w:val="center"/>
              <w:rPr>
                <w:rFonts w:ascii="华文仿宋" w:hAnsi="华文仿宋" w:eastAsia="华文仿宋"/>
                <w:sz w:val="24"/>
              </w:rPr>
            </w:pPr>
            <w:r>
              <w:rPr>
                <w:rFonts w:ascii="华文仿宋" w:hAnsi="华文仿宋" w:eastAsia="华文仿宋"/>
                <w:position w:val="-6"/>
                <w:sz w:val="24"/>
              </w:rPr>
              <w:object>
                <v:shape id="_x0000_i1065" o:spt="75" type="#_x0000_t75" style="height:7.5pt;width:7.5pt;" o:ole="t" filled="f" o:preferrelative="t" stroked="f" coordsize="21600,21600">
                  <v:path/>
                  <v:fill on="f" focussize="0,0"/>
                  <v:stroke on="f" joinstyle="miter"/>
                  <v:imagedata r:id="rId79" o:title=""/>
                  <o:lock v:ext="edit" aspectratio="t"/>
                  <w10:wrap type="none"/>
                  <w10:anchorlock/>
                </v:shape>
                <o:OLEObject Type="Embed" ProgID="Equation.3" ShapeID="_x0000_i1065" DrawAspect="Content" ObjectID="_1468075765" r:id="rId78">
                  <o:LockedField>false</o:LockedField>
                </o:OLEObject>
              </w:object>
            </w:r>
          </w:p>
        </w:tc>
        <w:tc>
          <w:tcPr>
            <w:tcW w:w="1217" w:type="dxa"/>
            <w:vAlign w:val="center"/>
          </w:tcPr>
          <w:p w14:paraId="39E55280">
            <w:pPr>
              <w:pStyle w:val="8"/>
              <w:snapToGrid w:val="0"/>
              <w:ind w:firstLine="420"/>
              <w:jc w:val="center"/>
              <w:rPr>
                <w:rFonts w:ascii="华文仿宋" w:hAnsi="华文仿宋" w:eastAsia="华文仿宋"/>
                <w:sz w:val="24"/>
              </w:rPr>
            </w:pPr>
            <w:r>
              <w:rPr>
                <w:rFonts w:ascii="华文仿宋" w:hAnsi="华文仿宋" w:eastAsia="华文仿宋"/>
                <w:sz w:val="24"/>
              </w:rPr>
              <w:t>1</w:t>
            </w:r>
          </w:p>
        </w:tc>
        <w:tc>
          <w:tcPr>
            <w:tcW w:w="1217" w:type="dxa"/>
            <w:vAlign w:val="center"/>
          </w:tcPr>
          <w:p w14:paraId="61C07A65">
            <w:pPr>
              <w:pStyle w:val="8"/>
              <w:snapToGrid w:val="0"/>
              <w:ind w:firstLine="420"/>
              <w:jc w:val="center"/>
              <w:rPr>
                <w:rFonts w:ascii="华文仿宋" w:hAnsi="华文仿宋" w:eastAsia="华文仿宋"/>
                <w:sz w:val="24"/>
              </w:rPr>
            </w:pPr>
            <w:r>
              <w:rPr>
                <w:rFonts w:ascii="华文仿宋" w:hAnsi="华文仿宋" w:eastAsia="华文仿宋"/>
                <w:sz w:val="24"/>
              </w:rPr>
              <w:t>2</w:t>
            </w:r>
          </w:p>
        </w:tc>
        <w:tc>
          <w:tcPr>
            <w:tcW w:w="1217" w:type="dxa"/>
            <w:vAlign w:val="center"/>
          </w:tcPr>
          <w:p w14:paraId="750E6D31">
            <w:pPr>
              <w:pStyle w:val="8"/>
              <w:snapToGrid w:val="0"/>
              <w:ind w:firstLine="420"/>
              <w:jc w:val="center"/>
              <w:rPr>
                <w:rFonts w:ascii="华文仿宋" w:hAnsi="华文仿宋" w:eastAsia="华文仿宋"/>
                <w:sz w:val="24"/>
              </w:rPr>
            </w:pPr>
            <w:r>
              <w:rPr>
                <w:rFonts w:ascii="华文仿宋" w:hAnsi="华文仿宋" w:eastAsia="华文仿宋"/>
                <w:sz w:val="24"/>
              </w:rPr>
              <w:t>3</w:t>
            </w:r>
          </w:p>
        </w:tc>
        <w:tc>
          <w:tcPr>
            <w:tcW w:w="1218" w:type="dxa"/>
            <w:vAlign w:val="center"/>
          </w:tcPr>
          <w:p w14:paraId="37AEE120">
            <w:pPr>
              <w:pStyle w:val="8"/>
              <w:snapToGrid w:val="0"/>
              <w:ind w:firstLine="420"/>
              <w:jc w:val="center"/>
              <w:rPr>
                <w:rFonts w:ascii="华文仿宋" w:hAnsi="华文仿宋" w:eastAsia="华文仿宋"/>
                <w:sz w:val="24"/>
              </w:rPr>
            </w:pPr>
            <w:r>
              <w:rPr>
                <w:rFonts w:ascii="华文仿宋" w:hAnsi="华文仿宋" w:eastAsia="华文仿宋"/>
                <w:sz w:val="24"/>
              </w:rPr>
              <w:t>4</w:t>
            </w:r>
          </w:p>
        </w:tc>
        <w:tc>
          <w:tcPr>
            <w:tcW w:w="1218" w:type="dxa"/>
            <w:vAlign w:val="center"/>
          </w:tcPr>
          <w:p w14:paraId="5B44DC4D">
            <w:pPr>
              <w:pStyle w:val="8"/>
              <w:snapToGrid w:val="0"/>
              <w:ind w:firstLine="420"/>
              <w:jc w:val="center"/>
              <w:rPr>
                <w:rFonts w:ascii="华文仿宋" w:hAnsi="华文仿宋" w:eastAsia="华文仿宋"/>
                <w:sz w:val="24"/>
              </w:rPr>
            </w:pPr>
            <w:r>
              <w:rPr>
                <w:rFonts w:ascii="华文仿宋" w:hAnsi="华文仿宋" w:eastAsia="华文仿宋"/>
                <w:sz w:val="24"/>
              </w:rPr>
              <w:t>5</w:t>
            </w:r>
          </w:p>
        </w:tc>
        <w:tc>
          <w:tcPr>
            <w:tcW w:w="1218" w:type="dxa"/>
            <w:vAlign w:val="center"/>
          </w:tcPr>
          <w:p w14:paraId="769C87AB">
            <w:pPr>
              <w:pStyle w:val="8"/>
              <w:snapToGrid w:val="0"/>
              <w:ind w:firstLine="420"/>
              <w:jc w:val="center"/>
              <w:rPr>
                <w:rFonts w:ascii="华文仿宋" w:hAnsi="华文仿宋" w:eastAsia="华文仿宋"/>
                <w:sz w:val="24"/>
              </w:rPr>
            </w:pPr>
            <w:r>
              <w:rPr>
                <w:rFonts w:ascii="华文仿宋" w:hAnsi="华文仿宋" w:eastAsia="华文仿宋"/>
                <w:sz w:val="24"/>
              </w:rPr>
              <w:t>6</w:t>
            </w:r>
          </w:p>
        </w:tc>
      </w:tr>
      <w:tr w14:paraId="3343C6C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17" w:type="dxa"/>
            <w:tcBorders>
              <w:bottom w:val="single" w:color="auto" w:sz="12" w:space="0"/>
            </w:tcBorders>
            <w:vAlign w:val="center"/>
          </w:tcPr>
          <w:p w14:paraId="1570E9D8">
            <w:pPr>
              <w:pStyle w:val="8"/>
              <w:snapToGrid w:val="0"/>
              <w:ind w:firstLine="420"/>
              <w:jc w:val="center"/>
              <w:rPr>
                <w:rFonts w:ascii="华文仿宋" w:hAnsi="华文仿宋" w:eastAsia="华文仿宋"/>
                <w:sz w:val="24"/>
              </w:rPr>
            </w:pPr>
            <w:r>
              <w:rPr>
                <w:rFonts w:ascii="华文仿宋" w:hAnsi="华文仿宋" w:eastAsia="华文仿宋"/>
                <w:position w:val="-4"/>
                <w:sz w:val="24"/>
              </w:rPr>
              <w:object>
                <v:shape id="_x0000_i1066" o:spt="75" type="#_x0000_t75" style="height:14.25pt;width:14.25pt;" o:ole="t" filled="f" o:preferrelative="t" stroked="f" coordsize="21600,21600">
                  <v:path/>
                  <v:fill on="f" focussize="0,0"/>
                  <v:stroke on="f" joinstyle="miter"/>
                  <v:imagedata r:id="rId76" o:title=""/>
                  <o:lock v:ext="edit" aspectratio="t"/>
                  <w10:wrap type="none"/>
                  <w10:anchorlock/>
                </v:shape>
                <o:OLEObject Type="Embed" ProgID="Equation.3" ShapeID="_x0000_i1066" DrawAspect="Content" ObjectID="_1468075766" r:id="rId80">
                  <o:LockedField>false</o:LockedField>
                </o:OLEObject>
              </w:object>
            </w:r>
          </w:p>
        </w:tc>
        <w:tc>
          <w:tcPr>
            <w:tcW w:w="1217" w:type="dxa"/>
            <w:tcBorders>
              <w:bottom w:val="single" w:color="auto" w:sz="12" w:space="0"/>
            </w:tcBorders>
            <w:vAlign w:val="center"/>
          </w:tcPr>
          <w:p w14:paraId="156D4039">
            <w:pPr>
              <w:pStyle w:val="8"/>
              <w:snapToGrid w:val="0"/>
              <w:ind w:firstLine="420"/>
              <w:jc w:val="center"/>
              <w:rPr>
                <w:rFonts w:ascii="华文仿宋" w:hAnsi="华文仿宋" w:eastAsia="华文仿宋"/>
                <w:sz w:val="24"/>
              </w:rPr>
            </w:pPr>
            <w:r>
              <w:rPr>
                <w:rFonts w:ascii="华文仿宋" w:hAnsi="华文仿宋" w:eastAsia="华文仿宋"/>
                <w:sz w:val="24"/>
              </w:rPr>
              <w:t>0.00</w:t>
            </w:r>
          </w:p>
        </w:tc>
        <w:tc>
          <w:tcPr>
            <w:tcW w:w="1217" w:type="dxa"/>
            <w:tcBorders>
              <w:bottom w:val="single" w:color="auto" w:sz="12" w:space="0"/>
            </w:tcBorders>
            <w:vAlign w:val="center"/>
          </w:tcPr>
          <w:p w14:paraId="5466131E">
            <w:pPr>
              <w:pStyle w:val="8"/>
              <w:snapToGrid w:val="0"/>
              <w:ind w:firstLine="420"/>
              <w:jc w:val="center"/>
              <w:rPr>
                <w:rFonts w:ascii="华文仿宋" w:hAnsi="华文仿宋" w:eastAsia="华文仿宋"/>
                <w:sz w:val="24"/>
              </w:rPr>
            </w:pPr>
            <w:r>
              <w:rPr>
                <w:rFonts w:ascii="华文仿宋" w:hAnsi="华文仿宋" w:eastAsia="华文仿宋"/>
                <w:sz w:val="24"/>
              </w:rPr>
              <w:t>0.00</w:t>
            </w:r>
          </w:p>
        </w:tc>
        <w:tc>
          <w:tcPr>
            <w:tcW w:w="1217" w:type="dxa"/>
            <w:tcBorders>
              <w:bottom w:val="single" w:color="auto" w:sz="12" w:space="0"/>
            </w:tcBorders>
            <w:vAlign w:val="center"/>
          </w:tcPr>
          <w:p w14:paraId="724BD2F6">
            <w:pPr>
              <w:pStyle w:val="8"/>
              <w:snapToGrid w:val="0"/>
              <w:ind w:firstLine="420"/>
              <w:jc w:val="center"/>
              <w:rPr>
                <w:rFonts w:ascii="华文仿宋" w:hAnsi="华文仿宋" w:eastAsia="华文仿宋"/>
                <w:sz w:val="24"/>
              </w:rPr>
            </w:pPr>
            <w:r>
              <w:rPr>
                <w:rFonts w:ascii="华文仿宋" w:hAnsi="华文仿宋" w:eastAsia="华文仿宋"/>
                <w:sz w:val="24"/>
              </w:rPr>
              <w:t>0.58</w:t>
            </w:r>
          </w:p>
        </w:tc>
        <w:tc>
          <w:tcPr>
            <w:tcW w:w="1218" w:type="dxa"/>
            <w:tcBorders>
              <w:bottom w:val="single" w:color="auto" w:sz="12" w:space="0"/>
            </w:tcBorders>
            <w:vAlign w:val="center"/>
          </w:tcPr>
          <w:p w14:paraId="18CBB6C9">
            <w:pPr>
              <w:pStyle w:val="8"/>
              <w:snapToGrid w:val="0"/>
              <w:ind w:firstLine="420"/>
              <w:jc w:val="center"/>
              <w:rPr>
                <w:rFonts w:ascii="华文仿宋" w:hAnsi="华文仿宋" w:eastAsia="华文仿宋"/>
                <w:sz w:val="24"/>
              </w:rPr>
            </w:pPr>
            <w:r>
              <w:rPr>
                <w:rFonts w:ascii="华文仿宋" w:hAnsi="华文仿宋" w:eastAsia="华文仿宋"/>
                <w:sz w:val="24"/>
              </w:rPr>
              <w:t>0.90</w:t>
            </w:r>
          </w:p>
        </w:tc>
        <w:tc>
          <w:tcPr>
            <w:tcW w:w="1218" w:type="dxa"/>
            <w:tcBorders>
              <w:bottom w:val="single" w:color="auto" w:sz="12" w:space="0"/>
            </w:tcBorders>
            <w:vAlign w:val="center"/>
          </w:tcPr>
          <w:p w14:paraId="03F18271">
            <w:pPr>
              <w:pStyle w:val="8"/>
              <w:snapToGrid w:val="0"/>
              <w:ind w:firstLine="420"/>
              <w:jc w:val="center"/>
              <w:rPr>
                <w:rFonts w:ascii="华文仿宋" w:hAnsi="华文仿宋" w:eastAsia="华文仿宋"/>
                <w:sz w:val="24"/>
              </w:rPr>
            </w:pPr>
            <w:r>
              <w:rPr>
                <w:rFonts w:ascii="华文仿宋" w:hAnsi="华文仿宋" w:eastAsia="华文仿宋"/>
                <w:sz w:val="24"/>
              </w:rPr>
              <w:t>1.12</w:t>
            </w:r>
          </w:p>
        </w:tc>
        <w:tc>
          <w:tcPr>
            <w:tcW w:w="1218" w:type="dxa"/>
            <w:tcBorders>
              <w:bottom w:val="single" w:color="auto" w:sz="12" w:space="0"/>
            </w:tcBorders>
            <w:vAlign w:val="center"/>
          </w:tcPr>
          <w:p w14:paraId="66823F3F">
            <w:pPr>
              <w:pStyle w:val="8"/>
              <w:snapToGrid w:val="0"/>
              <w:ind w:firstLine="420"/>
              <w:jc w:val="center"/>
              <w:rPr>
                <w:rFonts w:ascii="华文仿宋" w:hAnsi="华文仿宋" w:eastAsia="华文仿宋"/>
                <w:sz w:val="24"/>
              </w:rPr>
            </w:pPr>
            <w:r>
              <w:rPr>
                <w:rFonts w:ascii="华文仿宋" w:hAnsi="华文仿宋" w:eastAsia="华文仿宋"/>
                <w:sz w:val="24"/>
              </w:rPr>
              <w:t>1.24</w:t>
            </w:r>
          </w:p>
        </w:tc>
      </w:tr>
      <w:tr w14:paraId="5E33A28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17" w:type="dxa"/>
            <w:tcBorders>
              <w:top w:val="single" w:color="auto" w:sz="12" w:space="0"/>
            </w:tcBorders>
            <w:vAlign w:val="center"/>
          </w:tcPr>
          <w:p w14:paraId="3350A9C2">
            <w:pPr>
              <w:pStyle w:val="8"/>
              <w:snapToGrid w:val="0"/>
              <w:ind w:firstLine="420"/>
              <w:jc w:val="center"/>
              <w:rPr>
                <w:rFonts w:ascii="华文仿宋" w:hAnsi="华文仿宋" w:eastAsia="华文仿宋"/>
                <w:sz w:val="24"/>
              </w:rPr>
            </w:pPr>
            <w:r>
              <w:rPr>
                <w:rFonts w:ascii="华文仿宋" w:hAnsi="华文仿宋" w:eastAsia="华文仿宋"/>
                <w:position w:val="-6"/>
                <w:sz w:val="24"/>
              </w:rPr>
              <w:object>
                <v:shape id="_x0000_i1067" o:spt="75" type="#_x0000_t75" style="height:7.5pt;width:7.5pt;" o:ole="t" filled="f" o:preferrelative="t" stroked="f" coordsize="21600,21600">
                  <v:path/>
                  <v:fill on="f" focussize="0,0"/>
                  <v:stroke on="f" joinstyle="miter"/>
                  <v:imagedata r:id="rId79" o:title=""/>
                  <o:lock v:ext="edit" aspectratio="t"/>
                  <w10:wrap type="none"/>
                  <w10:anchorlock/>
                </v:shape>
                <o:OLEObject Type="Embed" ProgID="Equation.3" ShapeID="_x0000_i1067" DrawAspect="Content" ObjectID="_1468075767" r:id="rId81">
                  <o:LockedField>false</o:LockedField>
                </o:OLEObject>
              </w:object>
            </w:r>
          </w:p>
        </w:tc>
        <w:tc>
          <w:tcPr>
            <w:tcW w:w="1217" w:type="dxa"/>
            <w:tcBorders>
              <w:top w:val="single" w:color="auto" w:sz="12" w:space="0"/>
            </w:tcBorders>
            <w:vAlign w:val="center"/>
          </w:tcPr>
          <w:p w14:paraId="1DB3006E">
            <w:pPr>
              <w:pStyle w:val="8"/>
              <w:snapToGrid w:val="0"/>
              <w:ind w:firstLine="420"/>
              <w:jc w:val="center"/>
              <w:rPr>
                <w:rFonts w:ascii="华文仿宋" w:hAnsi="华文仿宋" w:eastAsia="华文仿宋"/>
                <w:sz w:val="24"/>
              </w:rPr>
            </w:pPr>
            <w:r>
              <w:rPr>
                <w:rFonts w:ascii="华文仿宋" w:hAnsi="华文仿宋" w:eastAsia="华文仿宋"/>
                <w:sz w:val="24"/>
              </w:rPr>
              <w:t>7</w:t>
            </w:r>
          </w:p>
        </w:tc>
        <w:tc>
          <w:tcPr>
            <w:tcW w:w="1217" w:type="dxa"/>
            <w:tcBorders>
              <w:top w:val="single" w:color="auto" w:sz="12" w:space="0"/>
            </w:tcBorders>
            <w:vAlign w:val="center"/>
          </w:tcPr>
          <w:p w14:paraId="3B2D5D08">
            <w:pPr>
              <w:pStyle w:val="8"/>
              <w:snapToGrid w:val="0"/>
              <w:ind w:firstLine="420"/>
              <w:jc w:val="center"/>
              <w:rPr>
                <w:rFonts w:ascii="华文仿宋" w:hAnsi="华文仿宋" w:eastAsia="华文仿宋"/>
                <w:sz w:val="24"/>
              </w:rPr>
            </w:pPr>
            <w:r>
              <w:rPr>
                <w:rFonts w:ascii="华文仿宋" w:hAnsi="华文仿宋" w:eastAsia="华文仿宋"/>
                <w:sz w:val="24"/>
              </w:rPr>
              <w:t>8</w:t>
            </w:r>
          </w:p>
        </w:tc>
        <w:tc>
          <w:tcPr>
            <w:tcW w:w="1217" w:type="dxa"/>
            <w:tcBorders>
              <w:top w:val="single" w:color="auto" w:sz="12" w:space="0"/>
            </w:tcBorders>
            <w:vAlign w:val="center"/>
          </w:tcPr>
          <w:p w14:paraId="63207A4D">
            <w:pPr>
              <w:pStyle w:val="8"/>
              <w:snapToGrid w:val="0"/>
              <w:ind w:firstLine="420"/>
              <w:jc w:val="center"/>
              <w:rPr>
                <w:rFonts w:ascii="华文仿宋" w:hAnsi="华文仿宋" w:eastAsia="华文仿宋"/>
                <w:sz w:val="24"/>
              </w:rPr>
            </w:pPr>
            <w:r>
              <w:rPr>
                <w:rFonts w:ascii="华文仿宋" w:hAnsi="华文仿宋" w:eastAsia="华文仿宋"/>
                <w:sz w:val="24"/>
              </w:rPr>
              <w:t>9</w:t>
            </w:r>
          </w:p>
        </w:tc>
        <w:tc>
          <w:tcPr>
            <w:tcW w:w="1218" w:type="dxa"/>
            <w:tcBorders>
              <w:top w:val="single" w:color="auto" w:sz="12" w:space="0"/>
            </w:tcBorders>
            <w:vAlign w:val="center"/>
          </w:tcPr>
          <w:p w14:paraId="1F9B8CFA">
            <w:pPr>
              <w:pStyle w:val="8"/>
              <w:snapToGrid w:val="0"/>
              <w:ind w:firstLine="420"/>
              <w:jc w:val="center"/>
              <w:rPr>
                <w:rFonts w:ascii="华文仿宋" w:hAnsi="华文仿宋" w:eastAsia="华文仿宋"/>
                <w:sz w:val="24"/>
              </w:rPr>
            </w:pPr>
            <w:r>
              <w:rPr>
                <w:rFonts w:ascii="华文仿宋" w:hAnsi="华文仿宋" w:eastAsia="华文仿宋"/>
                <w:sz w:val="24"/>
              </w:rPr>
              <w:t>10</w:t>
            </w:r>
          </w:p>
        </w:tc>
        <w:tc>
          <w:tcPr>
            <w:tcW w:w="1218" w:type="dxa"/>
            <w:tcBorders>
              <w:top w:val="single" w:color="auto" w:sz="12" w:space="0"/>
            </w:tcBorders>
            <w:vAlign w:val="center"/>
          </w:tcPr>
          <w:p w14:paraId="363AF3DC">
            <w:pPr>
              <w:pStyle w:val="8"/>
              <w:snapToGrid w:val="0"/>
              <w:ind w:firstLine="420"/>
              <w:jc w:val="center"/>
              <w:rPr>
                <w:rFonts w:ascii="华文仿宋" w:hAnsi="华文仿宋" w:eastAsia="华文仿宋"/>
                <w:sz w:val="24"/>
              </w:rPr>
            </w:pPr>
            <w:r>
              <w:rPr>
                <w:rFonts w:ascii="华文仿宋" w:hAnsi="华文仿宋" w:eastAsia="华文仿宋"/>
                <w:sz w:val="24"/>
              </w:rPr>
              <w:t>11</w:t>
            </w:r>
          </w:p>
        </w:tc>
        <w:tc>
          <w:tcPr>
            <w:tcW w:w="1218" w:type="dxa"/>
            <w:tcBorders>
              <w:top w:val="single" w:color="auto" w:sz="12" w:space="0"/>
            </w:tcBorders>
            <w:vAlign w:val="center"/>
          </w:tcPr>
          <w:p w14:paraId="1AEFA8D6">
            <w:pPr>
              <w:pStyle w:val="8"/>
              <w:snapToGrid w:val="0"/>
              <w:ind w:firstLine="420"/>
              <w:jc w:val="center"/>
              <w:rPr>
                <w:rFonts w:ascii="华文仿宋" w:hAnsi="华文仿宋" w:eastAsia="华文仿宋"/>
                <w:sz w:val="24"/>
              </w:rPr>
            </w:pPr>
            <w:r>
              <w:rPr>
                <w:rFonts w:ascii="华文仿宋" w:hAnsi="华文仿宋" w:eastAsia="华文仿宋"/>
                <w:sz w:val="24"/>
              </w:rPr>
              <w:t>12</w:t>
            </w:r>
          </w:p>
        </w:tc>
      </w:tr>
      <w:tr w14:paraId="354856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17" w:type="dxa"/>
            <w:vAlign w:val="center"/>
          </w:tcPr>
          <w:p w14:paraId="207C6200">
            <w:pPr>
              <w:pStyle w:val="8"/>
              <w:snapToGrid w:val="0"/>
              <w:ind w:firstLine="420"/>
              <w:jc w:val="center"/>
              <w:rPr>
                <w:rFonts w:ascii="华文仿宋" w:hAnsi="华文仿宋" w:eastAsia="华文仿宋"/>
                <w:sz w:val="24"/>
              </w:rPr>
            </w:pPr>
            <w:r>
              <w:rPr>
                <w:rFonts w:ascii="华文仿宋" w:hAnsi="华文仿宋" w:eastAsia="华文仿宋"/>
                <w:position w:val="-4"/>
                <w:sz w:val="24"/>
              </w:rPr>
              <w:object>
                <v:shape id="_x0000_i1068" o:spt="75" type="#_x0000_t75" style="height:14.25pt;width:14.25pt;" o:ole="t" filled="f" o:preferrelative="t" stroked="f" coordsize="21600,21600">
                  <v:path/>
                  <v:fill on="f" focussize="0,0"/>
                  <v:stroke on="f" joinstyle="miter"/>
                  <v:imagedata r:id="rId76" o:title=""/>
                  <o:lock v:ext="edit" aspectratio="t"/>
                  <w10:wrap type="none"/>
                  <w10:anchorlock/>
                </v:shape>
                <o:OLEObject Type="Embed" ProgID="Equation.3" ShapeID="_x0000_i1068" DrawAspect="Content" ObjectID="_1468075768" r:id="rId82">
                  <o:LockedField>false</o:LockedField>
                </o:OLEObject>
              </w:object>
            </w:r>
          </w:p>
        </w:tc>
        <w:tc>
          <w:tcPr>
            <w:tcW w:w="1217" w:type="dxa"/>
            <w:vAlign w:val="center"/>
          </w:tcPr>
          <w:p w14:paraId="6C6FF38C">
            <w:pPr>
              <w:pStyle w:val="8"/>
              <w:snapToGrid w:val="0"/>
              <w:ind w:firstLine="420"/>
              <w:jc w:val="center"/>
              <w:rPr>
                <w:rFonts w:ascii="华文仿宋" w:hAnsi="华文仿宋" w:eastAsia="华文仿宋"/>
                <w:sz w:val="24"/>
              </w:rPr>
            </w:pPr>
            <w:r>
              <w:rPr>
                <w:rFonts w:ascii="华文仿宋" w:hAnsi="华文仿宋" w:eastAsia="华文仿宋"/>
                <w:sz w:val="24"/>
              </w:rPr>
              <w:t>1.32</w:t>
            </w:r>
          </w:p>
        </w:tc>
        <w:tc>
          <w:tcPr>
            <w:tcW w:w="1217" w:type="dxa"/>
            <w:vAlign w:val="center"/>
          </w:tcPr>
          <w:p w14:paraId="2E2CBEF5">
            <w:pPr>
              <w:pStyle w:val="8"/>
              <w:snapToGrid w:val="0"/>
              <w:ind w:firstLine="420"/>
              <w:jc w:val="center"/>
              <w:rPr>
                <w:rFonts w:ascii="华文仿宋" w:hAnsi="华文仿宋" w:eastAsia="华文仿宋"/>
                <w:sz w:val="24"/>
              </w:rPr>
            </w:pPr>
            <w:r>
              <w:rPr>
                <w:rFonts w:ascii="华文仿宋" w:hAnsi="华文仿宋" w:eastAsia="华文仿宋"/>
                <w:sz w:val="24"/>
              </w:rPr>
              <w:t>1.41</w:t>
            </w:r>
          </w:p>
        </w:tc>
        <w:tc>
          <w:tcPr>
            <w:tcW w:w="1217" w:type="dxa"/>
            <w:vAlign w:val="center"/>
          </w:tcPr>
          <w:p w14:paraId="75B5192F">
            <w:pPr>
              <w:pStyle w:val="8"/>
              <w:snapToGrid w:val="0"/>
              <w:ind w:firstLine="420"/>
              <w:jc w:val="center"/>
              <w:rPr>
                <w:rFonts w:ascii="华文仿宋" w:hAnsi="华文仿宋" w:eastAsia="华文仿宋"/>
                <w:sz w:val="24"/>
              </w:rPr>
            </w:pPr>
            <w:r>
              <w:rPr>
                <w:rFonts w:ascii="华文仿宋" w:hAnsi="华文仿宋" w:eastAsia="华文仿宋"/>
                <w:sz w:val="24"/>
              </w:rPr>
              <w:t>1.45</w:t>
            </w:r>
          </w:p>
        </w:tc>
        <w:tc>
          <w:tcPr>
            <w:tcW w:w="1218" w:type="dxa"/>
            <w:vAlign w:val="center"/>
          </w:tcPr>
          <w:p w14:paraId="694FFB95">
            <w:pPr>
              <w:pStyle w:val="8"/>
              <w:snapToGrid w:val="0"/>
              <w:ind w:firstLine="420"/>
              <w:jc w:val="center"/>
              <w:rPr>
                <w:rFonts w:ascii="华文仿宋" w:hAnsi="华文仿宋" w:eastAsia="华文仿宋"/>
                <w:sz w:val="24"/>
              </w:rPr>
            </w:pPr>
            <w:r>
              <w:rPr>
                <w:rFonts w:ascii="华文仿宋" w:hAnsi="华文仿宋" w:eastAsia="华文仿宋"/>
                <w:sz w:val="24"/>
              </w:rPr>
              <w:t>1.49</w:t>
            </w:r>
          </w:p>
        </w:tc>
        <w:tc>
          <w:tcPr>
            <w:tcW w:w="1218" w:type="dxa"/>
            <w:vAlign w:val="center"/>
          </w:tcPr>
          <w:p w14:paraId="207C211B">
            <w:pPr>
              <w:pStyle w:val="8"/>
              <w:snapToGrid w:val="0"/>
              <w:ind w:firstLine="420"/>
              <w:jc w:val="center"/>
              <w:rPr>
                <w:rFonts w:ascii="华文仿宋" w:hAnsi="华文仿宋" w:eastAsia="华文仿宋"/>
                <w:sz w:val="24"/>
              </w:rPr>
            </w:pPr>
            <w:r>
              <w:rPr>
                <w:rFonts w:ascii="华文仿宋" w:hAnsi="华文仿宋" w:eastAsia="华文仿宋"/>
                <w:sz w:val="24"/>
              </w:rPr>
              <w:t>1.52</w:t>
            </w:r>
          </w:p>
        </w:tc>
        <w:tc>
          <w:tcPr>
            <w:tcW w:w="1218" w:type="dxa"/>
            <w:vAlign w:val="center"/>
          </w:tcPr>
          <w:p w14:paraId="65BCB291">
            <w:pPr>
              <w:pStyle w:val="8"/>
              <w:snapToGrid w:val="0"/>
              <w:ind w:firstLine="420"/>
              <w:jc w:val="center"/>
              <w:rPr>
                <w:rFonts w:ascii="华文仿宋" w:hAnsi="华文仿宋" w:eastAsia="华文仿宋"/>
                <w:sz w:val="24"/>
              </w:rPr>
            </w:pPr>
            <w:r>
              <w:rPr>
                <w:rFonts w:ascii="华文仿宋" w:hAnsi="华文仿宋" w:eastAsia="华文仿宋"/>
                <w:sz w:val="24"/>
              </w:rPr>
              <w:t>1.54</w:t>
            </w:r>
          </w:p>
        </w:tc>
      </w:tr>
    </w:tbl>
    <w:p w14:paraId="28AF3FD2">
      <w:pPr>
        <w:spacing w:line="360" w:lineRule="auto"/>
        <w:ind w:firstLine="480"/>
        <w:rPr>
          <w:rFonts w:ascii="华文仿宋" w:hAnsi="华文仿宋" w:eastAsia="华文仿宋"/>
          <w:sz w:val="28"/>
          <w:szCs w:val="28"/>
        </w:rPr>
      </w:pPr>
    </w:p>
    <w:p w14:paraId="59A56B4B">
      <w:pPr>
        <w:spacing w:line="360" w:lineRule="auto"/>
        <w:rPr>
          <w:rFonts w:ascii="华文仿宋" w:hAnsi="华文仿宋" w:eastAsia="华文仿宋"/>
          <w:sz w:val="28"/>
          <w:szCs w:val="28"/>
        </w:rPr>
      </w:pPr>
      <w:r>
        <w:rPr>
          <w:rFonts w:hint="eastAsia" w:ascii="华文仿宋" w:hAnsi="华文仿宋" w:eastAsia="华文仿宋"/>
          <w:sz w:val="28"/>
          <w:szCs w:val="28"/>
        </w:rPr>
        <w:t>（二）熵权法确定组合权重</w:t>
      </w:r>
    </w:p>
    <w:p w14:paraId="462B9AD4">
      <w:pPr>
        <w:spacing w:line="360" w:lineRule="auto"/>
        <w:ind w:firstLine="480"/>
        <w:rPr>
          <w:rFonts w:ascii="华文仿宋" w:hAnsi="华文仿宋" w:eastAsia="华文仿宋"/>
          <w:sz w:val="28"/>
          <w:szCs w:val="28"/>
        </w:rPr>
      </w:pPr>
      <w:r>
        <w:rPr>
          <w:rFonts w:hint="eastAsia" w:ascii="华文仿宋" w:hAnsi="华文仿宋" w:eastAsia="华文仿宋"/>
          <w:sz w:val="28"/>
          <w:szCs w:val="28"/>
        </w:rPr>
        <w:t>（1</w:t>
      </w:r>
      <w:r>
        <w:rPr>
          <w:rFonts w:ascii="华文仿宋" w:hAnsi="华文仿宋" w:eastAsia="华文仿宋"/>
          <w:sz w:val="28"/>
          <w:szCs w:val="28"/>
        </w:rPr>
        <w:t>）构造判断矩阵，利用</w:t>
      </w:r>
      <w:r>
        <w:rPr>
          <w:rFonts w:ascii="华文仿宋" w:hAnsi="华文仿宋" w:eastAsia="华文仿宋"/>
          <w:position w:val="-4"/>
          <w:sz w:val="28"/>
          <w:szCs w:val="28"/>
        </w:rPr>
        <w:object>
          <v:shape id="_x0000_i1069" o:spt="75" type="#_x0000_t75" style="height:13.5pt;width:28.5pt;" o:ole="t" filled="f" o:preferrelative="t" stroked="f" coordsize="21600,21600">
            <v:path/>
            <v:fill on="f" focussize="0,0"/>
            <v:stroke on="f" joinstyle="miter"/>
            <v:imagedata r:id="rId84" o:title=""/>
            <o:lock v:ext="edit" aspectratio="t"/>
            <w10:wrap type="none"/>
            <w10:anchorlock/>
          </v:shape>
          <o:OLEObject Type="Embed" ProgID="Equation.DSMT4" ShapeID="_x0000_i1069" DrawAspect="Content" ObjectID="_1468075769" r:id="rId83">
            <o:LockedField>false</o:LockedField>
          </o:OLEObject>
        </w:object>
      </w:r>
      <w:r>
        <w:rPr>
          <w:rFonts w:ascii="华文仿宋" w:hAnsi="华文仿宋" w:eastAsia="华文仿宋"/>
          <w:sz w:val="28"/>
          <w:szCs w:val="28"/>
        </w:rPr>
        <w:t>法求解初始指标权重向量</w:t>
      </w:r>
      <w:r>
        <w:rPr>
          <w:rFonts w:ascii="华文仿宋" w:hAnsi="华文仿宋" w:eastAsia="华文仿宋"/>
          <w:position w:val="-14"/>
          <w:sz w:val="28"/>
          <w:szCs w:val="28"/>
        </w:rPr>
        <w:object>
          <v:shape id="_x0000_i1070" o:spt="75" type="#_x0000_t75" style="height:22.5pt;width:96pt;" o:ole="t" filled="f" o:preferrelative="t" stroked="f" coordsize="21600,21600">
            <v:path/>
            <v:fill on="f" focussize="0,0"/>
            <v:stroke on="f" joinstyle="miter"/>
            <v:imagedata r:id="rId57" o:title=""/>
            <o:lock v:ext="edit" aspectratio="t"/>
            <w10:wrap type="none"/>
            <w10:anchorlock/>
          </v:shape>
          <o:OLEObject Type="Embed" ProgID="Equation.DSMT4" ShapeID="_x0000_i1070" DrawAspect="Content" ObjectID="_1468075770" r:id="rId85">
            <o:LockedField>false</o:LockedField>
          </o:OLEObject>
        </w:object>
      </w:r>
      <w:r>
        <w:rPr>
          <w:rFonts w:ascii="华文仿宋" w:hAnsi="华文仿宋" w:eastAsia="华文仿宋"/>
          <w:sz w:val="28"/>
          <w:szCs w:val="28"/>
        </w:rPr>
        <w:t>,</w:t>
      </w:r>
    </w:p>
    <w:p w14:paraId="3D54C015">
      <w:pPr>
        <w:spacing w:line="360" w:lineRule="auto"/>
        <w:ind w:firstLine="480"/>
        <w:jc w:val="center"/>
        <w:rPr>
          <w:rFonts w:ascii="华文仿宋" w:hAnsi="华文仿宋" w:eastAsia="华文仿宋"/>
          <w:sz w:val="28"/>
          <w:szCs w:val="28"/>
        </w:rPr>
      </w:pPr>
      <w:r>
        <w:rPr>
          <w:rFonts w:ascii="华文仿宋" w:hAnsi="华文仿宋" w:eastAsia="华文仿宋"/>
          <w:position w:val="-74"/>
          <w:sz w:val="28"/>
          <w:szCs w:val="28"/>
        </w:rPr>
        <w:object>
          <v:shape id="_x0000_i1071" o:spt="75" type="#_x0000_t75" style="height:79.5pt;width:167.25pt;" o:ole="t" filled="f" o:preferrelative="t" stroked="f" coordsize="21600,21600">
            <v:path/>
            <v:fill on="f" focussize="0,0"/>
            <v:stroke on="f" joinstyle="miter"/>
            <v:imagedata r:id="rId87" o:title=""/>
            <o:lock v:ext="edit" aspectratio="t"/>
            <w10:wrap type="none"/>
            <w10:anchorlock/>
          </v:shape>
          <o:OLEObject Type="Embed" ProgID="Equation.DSMT4" ShapeID="_x0000_i1071" DrawAspect="Content" ObjectID="_1468075771" r:id="rId86">
            <o:LockedField>false</o:LockedField>
          </o:OLEObject>
        </w:object>
      </w:r>
    </w:p>
    <w:p w14:paraId="3E5C759D">
      <w:pPr>
        <w:spacing w:line="360" w:lineRule="auto"/>
        <w:ind w:firstLine="480"/>
        <w:rPr>
          <w:rFonts w:ascii="华文仿宋" w:hAnsi="华文仿宋" w:eastAsia="华文仿宋"/>
          <w:sz w:val="28"/>
          <w:szCs w:val="28"/>
        </w:rPr>
      </w:pPr>
      <w:r>
        <w:rPr>
          <w:rFonts w:hint="eastAsia" w:ascii="华文仿宋" w:hAnsi="华文仿宋" w:eastAsia="华文仿宋"/>
          <w:sz w:val="28"/>
          <w:szCs w:val="28"/>
        </w:rPr>
        <w:t>（2）对判断矩阵</w:t>
      </w:r>
      <w:r>
        <w:rPr>
          <w:rFonts w:ascii="华文仿宋" w:hAnsi="华文仿宋" w:eastAsia="华文仿宋"/>
          <w:position w:val="-20"/>
          <w:sz w:val="28"/>
          <w:szCs w:val="28"/>
        </w:rPr>
        <w:object>
          <v:shape id="_x0000_i1072" o:spt="75" type="#_x0000_t75" style="height:25.5pt;width:55.5pt;" o:ole="t" filled="f" o:preferrelative="t" stroked="f" coordsize="21600,21600">
            <v:path/>
            <v:fill on="f" focussize="0,0"/>
            <v:stroke on="f" joinstyle="miter"/>
            <v:imagedata r:id="rId89" o:title=""/>
            <o:lock v:ext="edit" aspectratio="t"/>
            <w10:wrap type="none"/>
            <w10:anchorlock/>
          </v:shape>
          <o:OLEObject Type="Embed" ProgID="Equation.DSMT4" ShapeID="_x0000_i1072" DrawAspect="Content" ObjectID="_1468075772" r:id="rId88">
            <o:LockedField>false</o:LockedField>
          </o:OLEObject>
        </w:object>
      </w:r>
      <w:r>
        <w:rPr>
          <w:rFonts w:hint="eastAsia" w:ascii="华文仿宋" w:hAnsi="华文仿宋" w:eastAsia="华文仿宋"/>
          <w:sz w:val="28"/>
          <w:szCs w:val="28"/>
        </w:rPr>
        <w:t>进行归一化处理，并得到判断矩阵的标准矩阵</w:t>
      </w:r>
    </w:p>
    <w:p w14:paraId="1DAEBCE6">
      <w:pPr>
        <w:spacing w:line="360" w:lineRule="auto"/>
        <w:ind w:firstLine="480"/>
        <w:jc w:val="center"/>
        <w:rPr>
          <w:rFonts w:ascii="华文仿宋" w:hAnsi="华文仿宋" w:eastAsia="华文仿宋"/>
          <w:sz w:val="28"/>
          <w:szCs w:val="28"/>
        </w:rPr>
      </w:pPr>
      <w:r>
        <w:rPr>
          <w:rFonts w:ascii="华文仿宋" w:hAnsi="华文仿宋" w:eastAsia="华文仿宋"/>
          <w:position w:val="-68"/>
          <w:sz w:val="28"/>
          <w:szCs w:val="28"/>
        </w:rPr>
        <w:object>
          <v:shape id="_x0000_i1073" o:spt="75" type="#_x0000_t75" style="height:73.5pt;width:167.25pt;" o:ole="t" filled="f" o:preferrelative="t" stroked="f" coordsize="21600,21600">
            <v:path/>
            <v:fill on="f" focussize="0,0"/>
            <v:stroke on="f" joinstyle="miter"/>
            <v:imagedata r:id="rId91" o:title=""/>
            <o:lock v:ext="edit" aspectratio="t"/>
            <w10:wrap type="none"/>
            <w10:anchorlock/>
          </v:shape>
          <o:OLEObject Type="Embed" ProgID="Equation.DSMT4" ShapeID="_x0000_i1073" DrawAspect="Content" ObjectID="_1468075773" r:id="rId90">
            <o:LockedField>false</o:LockedField>
          </o:OLEObject>
        </w:object>
      </w:r>
      <w:r>
        <w:rPr>
          <w:rFonts w:hint="eastAsia" w:ascii="华文仿宋" w:hAnsi="华文仿宋" w:eastAsia="华文仿宋"/>
          <w:sz w:val="28"/>
          <w:szCs w:val="28"/>
        </w:rPr>
        <w:t>，其中</w:t>
      </w:r>
      <w:r>
        <w:rPr>
          <w:rFonts w:ascii="华文仿宋" w:hAnsi="华文仿宋" w:eastAsia="华文仿宋"/>
          <w:position w:val="-60"/>
          <w:sz w:val="28"/>
          <w:szCs w:val="28"/>
        </w:rPr>
        <w:object>
          <v:shape id="_x0000_i1074" o:spt="75" type="#_x0000_t75" style="height:51pt;width:54.75pt;" o:ole="t" filled="f" o:preferrelative="t" stroked="f" coordsize="21600,21600">
            <v:path/>
            <v:fill on="f" focussize="0,0"/>
            <v:stroke on="f" joinstyle="miter"/>
            <v:imagedata r:id="rId93" o:title=""/>
            <o:lock v:ext="edit" aspectratio="t"/>
            <w10:wrap type="none"/>
            <w10:anchorlock/>
          </v:shape>
          <o:OLEObject Type="Embed" ProgID="Equation.DSMT4" ShapeID="_x0000_i1074" DrawAspect="Content" ObjectID="_1468075774" r:id="rId92">
            <o:LockedField>false</o:LockedField>
          </o:OLEObject>
        </w:object>
      </w:r>
    </w:p>
    <w:p w14:paraId="1FD7639C">
      <w:pPr>
        <w:spacing w:line="360" w:lineRule="auto"/>
        <w:ind w:firstLine="480"/>
        <w:rPr>
          <w:rFonts w:ascii="华文仿宋" w:hAnsi="华文仿宋" w:eastAsia="华文仿宋"/>
          <w:sz w:val="28"/>
          <w:szCs w:val="28"/>
        </w:rPr>
      </w:pPr>
      <w:r>
        <w:rPr>
          <w:rFonts w:hint="eastAsia" w:ascii="华文仿宋" w:hAnsi="华文仿宋" w:eastAsia="华文仿宋"/>
          <w:sz w:val="28"/>
          <w:szCs w:val="28"/>
        </w:rPr>
        <w:t>（3）求指标</w:t>
      </w:r>
      <w:r>
        <w:rPr>
          <w:rFonts w:ascii="华文仿宋" w:hAnsi="华文仿宋" w:eastAsia="华文仿宋"/>
          <w:position w:val="-10"/>
          <w:sz w:val="28"/>
          <w:szCs w:val="28"/>
        </w:rPr>
        <w:object>
          <v:shape id="_x0000_i1075" o:spt="75" type="#_x0000_t75" style="height:15pt;width:10.5pt;" o:ole="t" filled="f" o:preferrelative="t" stroked="f" coordsize="21600,21600">
            <v:path/>
            <v:fill on="f" focussize="0,0"/>
            <v:stroke on="f" joinstyle="miter"/>
            <v:imagedata r:id="rId95" o:title=""/>
            <o:lock v:ext="edit" aspectratio="t"/>
            <w10:wrap type="none"/>
            <w10:anchorlock/>
          </v:shape>
          <o:OLEObject Type="Embed" ProgID="Equation.DSMT4" ShapeID="_x0000_i1075" DrawAspect="Content" ObjectID="_1468075775" r:id="rId94">
            <o:LockedField>false</o:LockedField>
          </o:OLEObject>
        </w:object>
      </w:r>
      <w:r>
        <w:rPr>
          <w:rFonts w:hint="eastAsia" w:ascii="华文仿宋" w:hAnsi="华文仿宋" w:eastAsia="华文仿宋"/>
          <w:sz w:val="28"/>
          <w:szCs w:val="28"/>
        </w:rPr>
        <w:t>的熵</w:t>
      </w:r>
      <w:r>
        <w:rPr>
          <w:rFonts w:ascii="华文仿宋" w:hAnsi="华文仿宋" w:eastAsia="华文仿宋"/>
          <w:position w:val="-14"/>
          <w:sz w:val="28"/>
          <w:szCs w:val="28"/>
        </w:rPr>
        <w:object>
          <v:shape id="_x0000_i1076" o:spt="75" type="#_x0000_t75" style="height:19.5pt;width:21pt;" o:ole="t" filled="f" o:preferrelative="t" stroked="f" coordsize="21600,21600">
            <v:path/>
            <v:fill on="f" focussize="0,0"/>
            <v:stroke on="f" joinstyle="miter"/>
            <v:imagedata r:id="rId97" o:title=""/>
            <o:lock v:ext="edit" aspectratio="t"/>
            <w10:wrap type="none"/>
            <w10:anchorlock/>
          </v:shape>
          <o:OLEObject Type="Embed" ProgID="Equation.DSMT4" ShapeID="_x0000_i1076" DrawAspect="Content" ObjectID="_1468075776" r:id="rId96">
            <o:LockedField>false</o:LockedField>
          </o:OLEObject>
        </w:object>
      </w:r>
      <w:r>
        <w:rPr>
          <w:rFonts w:ascii="华文仿宋" w:hAnsi="华文仿宋" w:eastAsia="华文仿宋"/>
          <w:position w:val="-60"/>
          <w:sz w:val="28"/>
          <w:szCs w:val="28"/>
        </w:rPr>
        <w:object>
          <v:shape id="_x0000_i1077" o:spt="75" type="#_x0000_t75" style="height:51pt;width:148.5pt;" o:ole="t" filled="f" o:preferrelative="t" stroked="f" coordsize="21600,21600">
            <v:path/>
            <v:fill on="f" focussize="0,0"/>
            <v:stroke on="f" joinstyle="miter"/>
            <v:imagedata r:id="rId99" o:title=""/>
            <o:lock v:ext="edit" aspectratio="t"/>
            <w10:wrap type="none"/>
            <w10:anchorlock/>
          </v:shape>
          <o:OLEObject Type="Embed" ProgID="Equation.DSMT4" ShapeID="_x0000_i1077" DrawAspect="Content" ObjectID="_1468075777" r:id="rId98">
            <o:LockedField>false</o:LockedField>
          </o:OLEObject>
        </w:object>
      </w:r>
    </w:p>
    <w:p w14:paraId="38B42D81">
      <w:pPr>
        <w:spacing w:line="360" w:lineRule="auto"/>
        <w:ind w:firstLine="480"/>
        <w:rPr>
          <w:rFonts w:ascii="华文仿宋" w:hAnsi="华文仿宋" w:eastAsia="华文仿宋"/>
          <w:sz w:val="28"/>
          <w:szCs w:val="28"/>
        </w:rPr>
      </w:pPr>
      <w:r>
        <w:rPr>
          <w:rFonts w:hint="eastAsia" w:ascii="华文仿宋" w:hAnsi="华文仿宋" w:eastAsia="华文仿宋"/>
          <w:sz w:val="28"/>
          <w:szCs w:val="28"/>
        </w:rPr>
        <w:t>（4）在熵的基础上计算指标</w:t>
      </w:r>
      <w:r>
        <w:rPr>
          <w:rFonts w:ascii="华文仿宋" w:hAnsi="华文仿宋" w:eastAsia="华文仿宋"/>
          <w:position w:val="-10"/>
          <w:sz w:val="28"/>
          <w:szCs w:val="28"/>
        </w:rPr>
        <w:object>
          <v:shape id="_x0000_i1078" o:spt="75" type="#_x0000_t75" style="height:15pt;width:10.5pt;" o:ole="t" filled="f" o:preferrelative="t" stroked="f" coordsize="21600,21600">
            <v:path/>
            <v:fill on="f" focussize="0,0"/>
            <v:stroke on="f" joinstyle="miter"/>
            <v:imagedata r:id="rId101" o:title=""/>
            <o:lock v:ext="edit" aspectratio="t"/>
            <w10:wrap type="none"/>
            <w10:anchorlock/>
          </v:shape>
          <o:OLEObject Type="Embed" ProgID="Equation.DSMT4" ShapeID="_x0000_i1078" DrawAspect="Content" ObjectID="_1468075778" r:id="rId100">
            <o:LockedField>false</o:LockedField>
          </o:OLEObject>
        </w:object>
      </w:r>
      <w:r>
        <w:rPr>
          <w:rFonts w:hint="eastAsia" w:ascii="华文仿宋" w:hAnsi="华文仿宋" w:eastAsia="华文仿宋"/>
          <w:sz w:val="28"/>
          <w:szCs w:val="28"/>
        </w:rPr>
        <w:t>的偏差度</w:t>
      </w:r>
      <w:r>
        <w:rPr>
          <w:rFonts w:ascii="华文仿宋" w:hAnsi="华文仿宋" w:eastAsia="华文仿宋"/>
          <w:position w:val="-14"/>
          <w:sz w:val="28"/>
          <w:szCs w:val="28"/>
        </w:rPr>
        <w:object>
          <v:shape id="_x0000_i1079" o:spt="75" type="#_x0000_t75" style="height:19.5pt;width:70.5pt;" o:ole="t" filled="f" o:preferrelative="t" stroked="f" coordsize="21600,21600">
            <v:path/>
            <v:fill on="f" focussize="0,0"/>
            <v:stroke on="f" joinstyle="miter"/>
            <v:imagedata r:id="rId103" o:title=""/>
            <o:lock v:ext="edit" aspectratio="t"/>
            <w10:wrap type="none"/>
            <w10:anchorlock/>
          </v:shape>
          <o:OLEObject Type="Embed" ProgID="Equation.DSMT4" ShapeID="_x0000_i1079" DrawAspect="Content" ObjectID="_1468075779" r:id="rId102">
            <o:LockedField>false</o:LockedField>
          </o:OLEObject>
        </w:object>
      </w:r>
    </w:p>
    <w:p w14:paraId="4D5D60FE">
      <w:pPr>
        <w:spacing w:line="360" w:lineRule="auto"/>
        <w:ind w:firstLine="480"/>
        <w:rPr>
          <w:rFonts w:ascii="华文仿宋" w:hAnsi="华文仿宋" w:eastAsia="华文仿宋"/>
          <w:sz w:val="28"/>
          <w:szCs w:val="28"/>
        </w:rPr>
      </w:pPr>
      <w:r>
        <w:rPr>
          <w:rFonts w:hint="eastAsia" w:ascii="华文仿宋" w:hAnsi="华文仿宋" w:eastAsia="华文仿宋"/>
          <w:sz w:val="28"/>
          <w:szCs w:val="28"/>
        </w:rPr>
        <w:t>（5）确定修正系数</w:t>
      </w:r>
      <w:r>
        <w:rPr>
          <w:rFonts w:ascii="华文仿宋" w:hAnsi="华文仿宋" w:eastAsia="华文仿宋"/>
          <w:position w:val="-30"/>
          <w:sz w:val="28"/>
          <w:szCs w:val="28"/>
        </w:rPr>
        <w:object>
          <v:shape id="_x0000_i1080" o:spt="75" type="#_x0000_t75" style="height:35.25pt;width:92.25pt;" o:ole="t" filled="f" o:preferrelative="t" stroked="f" coordsize="21600,21600">
            <v:path/>
            <v:fill on="f" focussize="0,0"/>
            <v:stroke on="f" joinstyle="miter"/>
            <v:imagedata r:id="rId105" o:title=""/>
            <o:lock v:ext="edit" aspectratio="t"/>
            <w10:wrap type="none"/>
            <w10:anchorlock/>
          </v:shape>
          <o:OLEObject Type="Embed" ProgID="Equation.DSMT4" ShapeID="_x0000_i1080" DrawAspect="Content" ObjectID="_1468075780" r:id="rId104">
            <o:LockedField>false</o:LockedField>
          </o:OLEObject>
        </w:object>
      </w:r>
    </w:p>
    <w:p w14:paraId="4C145043">
      <w:pPr>
        <w:spacing w:line="360" w:lineRule="auto"/>
        <w:ind w:firstLine="480"/>
        <w:rPr>
          <w:rFonts w:ascii="华文仿宋" w:hAnsi="华文仿宋" w:eastAsia="华文仿宋"/>
          <w:sz w:val="28"/>
          <w:szCs w:val="28"/>
        </w:rPr>
      </w:pPr>
      <w:r>
        <w:rPr>
          <w:rFonts w:hint="eastAsia" w:ascii="华文仿宋" w:hAnsi="华文仿宋" w:eastAsia="华文仿宋"/>
          <w:sz w:val="28"/>
          <w:szCs w:val="28"/>
        </w:rPr>
        <w:t>（6）利用</w:t>
      </w:r>
      <w:r>
        <w:rPr>
          <w:rFonts w:ascii="华文仿宋" w:hAnsi="华文仿宋" w:eastAsia="华文仿宋"/>
          <w:position w:val="-4"/>
          <w:sz w:val="28"/>
          <w:szCs w:val="28"/>
        </w:rPr>
        <w:object>
          <v:shape id="_x0000_i1081" o:spt="75" type="#_x0000_t75" style="height:13.5pt;width:28.5pt;" o:ole="t" filled="f" o:preferrelative="t" stroked="f" coordsize="21600,21600">
            <v:path/>
            <v:fill on="f" focussize="0,0"/>
            <v:stroke on="f" joinstyle="miter"/>
            <v:imagedata r:id="rId107" o:title=""/>
            <o:lock v:ext="edit" aspectratio="t"/>
            <w10:wrap type="none"/>
            <w10:anchorlock/>
          </v:shape>
          <o:OLEObject Type="Embed" ProgID="Equation.DSMT4" ShapeID="_x0000_i1081" DrawAspect="Content" ObjectID="_1468075781" r:id="rId106">
            <o:LockedField>false</o:LockedField>
          </o:OLEObject>
        </w:object>
      </w:r>
      <w:r>
        <w:rPr>
          <w:rFonts w:hint="eastAsia" w:ascii="华文仿宋" w:hAnsi="华文仿宋" w:eastAsia="华文仿宋"/>
          <w:sz w:val="28"/>
          <w:szCs w:val="28"/>
        </w:rPr>
        <w:t>法得到的初始权重与熵修正后的权重按下式进行组合，最终得到各指标最为合理的权重向量</w:t>
      </w:r>
      <w:r>
        <w:rPr>
          <w:rFonts w:ascii="华文仿宋" w:hAnsi="华文仿宋" w:eastAsia="华文仿宋"/>
          <w:position w:val="-14"/>
          <w:sz w:val="28"/>
          <w:szCs w:val="28"/>
        </w:rPr>
        <w:object>
          <v:shape id="_x0000_i1082" o:spt="75" type="#_x0000_t75" style="height:20.25pt;width:99pt;" o:ole="t" filled="f" o:preferrelative="t" stroked="f" coordsize="21600,21600">
            <v:path/>
            <v:fill on="f" focussize="0,0"/>
            <v:stroke on="f" joinstyle="miter"/>
            <v:imagedata r:id="rId109" o:title=""/>
            <o:lock v:ext="edit" aspectratio="t"/>
            <w10:wrap type="none"/>
            <w10:anchorlock/>
          </v:shape>
          <o:OLEObject Type="Embed" ProgID="Equation.DSMT4" ShapeID="_x0000_i1082" DrawAspect="Content" ObjectID="_1468075782" r:id="rId108">
            <o:LockedField>false</o:LockedField>
          </o:OLEObject>
        </w:object>
      </w:r>
      <w:r>
        <w:rPr>
          <w:rFonts w:hint="eastAsia" w:ascii="华文仿宋" w:hAnsi="华文仿宋" w:eastAsia="华文仿宋"/>
          <w:sz w:val="28"/>
          <w:szCs w:val="28"/>
        </w:rPr>
        <w:t>。式中，</w:t>
      </w:r>
      <w:r>
        <w:rPr>
          <w:rFonts w:ascii="华文仿宋" w:hAnsi="华文仿宋" w:eastAsia="华文仿宋"/>
          <w:position w:val="-10"/>
          <w:sz w:val="28"/>
          <w:szCs w:val="28"/>
        </w:rPr>
        <w:object>
          <v:shape id="_x0000_i1083" o:spt="75" type="#_x0000_t75" style="height:13.5pt;width:12pt;" o:ole="t" filled="f" o:preferrelative="t" stroked="f" coordsize="21600,21600">
            <v:path/>
            <v:fill on="f" focussize="0,0"/>
            <v:stroke on="f" joinstyle="miter"/>
            <v:imagedata r:id="rId111" o:title=""/>
            <o:lock v:ext="edit" aspectratio="t"/>
            <w10:wrap type="none"/>
            <w10:anchorlock/>
          </v:shape>
          <o:OLEObject Type="Embed" ProgID="Equation.DSMT4" ShapeID="_x0000_i1083" DrawAspect="Content" ObjectID="_1468075783" r:id="rId110">
            <o:LockedField>false</o:LockedField>
          </o:OLEObject>
        </w:object>
      </w:r>
      <w:r>
        <w:rPr>
          <w:rFonts w:hint="eastAsia" w:ascii="华文仿宋" w:hAnsi="华文仿宋" w:eastAsia="华文仿宋"/>
          <w:sz w:val="28"/>
          <w:szCs w:val="28"/>
        </w:rPr>
        <w:t>通常取0.5。</w:t>
      </w:r>
    </w:p>
    <w:p w14:paraId="3949D05C">
      <w:pPr>
        <w:spacing w:line="360" w:lineRule="auto"/>
        <w:ind w:firstLine="480"/>
        <w:jc w:val="center"/>
        <w:rPr>
          <w:rFonts w:ascii="华文仿宋" w:hAnsi="华文仿宋" w:eastAsia="华文仿宋"/>
          <w:sz w:val="28"/>
          <w:szCs w:val="28"/>
        </w:rPr>
      </w:pPr>
      <w:r>
        <w:rPr>
          <w:rFonts w:ascii="华文仿宋" w:hAnsi="华文仿宋" w:eastAsia="华文仿宋"/>
          <w:position w:val="-14"/>
          <w:sz w:val="28"/>
          <w:szCs w:val="28"/>
        </w:rPr>
        <w:object>
          <v:shape id="_x0000_i1084" o:spt="75" type="#_x0000_t75" style="height:19.5pt;width:98.25pt;" o:ole="t" filled="f" o:preferrelative="t" stroked="f" coordsize="21600,21600">
            <v:path/>
            <v:fill on="f" focussize="0,0"/>
            <v:stroke on="f" joinstyle="miter"/>
            <v:imagedata r:id="rId113" o:title=""/>
            <o:lock v:ext="edit" aspectratio="t"/>
            <w10:wrap type="none"/>
            <w10:anchorlock/>
          </v:shape>
          <o:OLEObject Type="Embed" ProgID="Equation.DSMT4" ShapeID="_x0000_i1084" DrawAspect="Content" ObjectID="_1468075784" r:id="rId112">
            <o:LockedField>false</o:LockedField>
          </o:OLEObject>
        </w:object>
      </w:r>
    </w:p>
    <w:p w14:paraId="2076DD93">
      <w:pPr>
        <w:spacing w:line="360" w:lineRule="auto"/>
        <w:ind w:firstLine="480"/>
        <w:rPr>
          <w:rFonts w:ascii="华文仿宋" w:hAnsi="华文仿宋" w:eastAsia="华文仿宋"/>
          <w:sz w:val="28"/>
          <w:szCs w:val="28"/>
        </w:rPr>
      </w:pPr>
      <w:r>
        <w:rPr>
          <w:rFonts w:hint="eastAsia" w:ascii="华文仿宋" w:hAnsi="华文仿宋" w:eastAsia="华文仿宋"/>
          <w:sz w:val="28"/>
          <w:szCs w:val="28"/>
        </w:rPr>
        <w:t>根据评价指标体系以及权重计算方法得到各评价指标的权重以及突泉县的实际指标值，如表2-5所示。</w:t>
      </w:r>
    </w:p>
    <w:p w14:paraId="4EAECE96">
      <w:pPr>
        <w:spacing w:line="360" w:lineRule="auto"/>
        <w:ind w:firstLine="420"/>
        <w:jc w:val="center"/>
        <w:rPr>
          <w:rFonts w:ascii="华文仿宋" w:hAnsi="华文仿宋" w:eastAsia="华文仿宋"/>
          <w:b/>
          <w:bCs/>
          <w:sz w:val="28"/>
          <w:szCs w:val="28"/>
        </w:rPr>
      </w:pPr>
      <w:r>
        <w:rPr>
          <w:rFonts w:hint="eastAsia" w:ascii="华文仿宋" w:hAnsi="华文仿宋" w:eastAsia="华文仿宋"/>
          <w:b/>
          <w:bCs/>
          <w:sz w:val="28"/>
          <w:szCs w:val="28"/>
        </w:rPr>
        <w:t>表2-5</w:t>
      </w:r>
      <w:r>
        <w:rPr>
          <w:rFonts w:ascii="华文仿宋" w:hAnsi="华文仿宋" w:eastAsia="华文仿宋"/>
          <w:b/>
          <w:bCs/>
          <w:sz w:val="28"/>
          <w:szCs w:val="28"/>
        </w:rPr>
        <w:t xml:space="preserve"> </w:t>
      </w:r>
      <w:r>
        <w:rPr>
          <w:rFonts w:hint="eastAsia" w:ascii="华文仿宋" w:hAnsi="华文仿宋" w:eastAsia="华文仿宋"/>
          <w:b/>
          <w:bCs/>
          <w:sz w:val="28"/>
          <w:szCs w:val="28"/>
        </w:rPr>
        <w:t>各评价指标实际值及权重计算结果</w:t>
      </w:r>
    </w:p>
    <w:tbl>
      <w:tblPr>
        <w:tblStyle w:val="10"/>
        <w:tblW w:w="0" w:type="auto"/>
        <w:jc w:val="center"/>
        <w:tblLayout w:type="fixed"/>
        <w:tblCellMar>
          <w:top w:w="0" w:type="dxa"/>
          <w:left w:w="108" w:type="dxa"/>
          <w:bottom w:w="0" w:type="dxa"/>
          <w:right w:w="108" w:type="dxa"/>
        </w:tblCellMar>
      </w:tblPr>
      <w:tblGrid>
        <w:gridCol w:w="988"/>
        <w:gridCol w:w="786"/>
        <w:gridCol w:w="915"/>
        <w:gridCol w:w="1134"/>
        <w:gridCol w:w="1134"/>
        <w:gridCol w:w="1701"/>
        <w:gridCol w:w="850"/>
        <w:gridCol w:w="788"/>
      </w:tblGrid>
      <w:tr w14:paraId="76043675">
        <w:tblPrEx>
          <w:tblCellMar>
            <w:top w:w="0" w:type="dxa"/>
            <w:left w:w="108" w:type="dxa"/>
            <w:bottom w:w="0" w:type="dxa"/>
            <w:right w:w="108" w:type="dxa"/>
          </w:tblCellMar>
        </w:tblPrEx>
        <w:trPr>
          <w:trHeight w:val="552"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8FBA48">
            <w:pPr>
              <w:widowControl/>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目标层N</w:t>
            </w:r>
          </w:p>
        </w:tc>
        <w:tc>
          <w:tcPr>
            <w:tcW w:w="786" w:type="dxa"/>
            <w:tcBorders>
              <w:top w:val="single" w:color="auto" w:sz="4" w:space="0"/>
              <w:left w:val="nil"/>
              <w:bottom w:val="single" w:color="auto" w:sz="4" w:space="0"/>
              <w:right w:val="single" w:color="auto" w:sz="4" w:space="0"/>
            </w:tcBorders>
            <w:shd w:val="clear" w:color="auto" w:fill="auto"/>
            <w:noWrap/>
            <w:vAlign w:val="center"/>
          </w:tcPr>
          <w:p w14:paraId="125F50AF">
            <w:pPr>
              <w:widowControl/>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1级指标C(i)</w:t>
            </w:r>
          </w:p>
        </w:tc>
        <w:tc>
          <w:tcPr>
            <w:tcW w:w="915" w:type="dxa"/>
            <w:tcBorders>
              <w:top w:val="single" w:color="auto" w:sz="4" w:space="0"/>
              <w:left w:val="nil"/>
              <w:bottom w:val="single" w:color="auto" w:sz="4" w:space="0"/>
              <w:right w:val="single" w:color="auto" w:sz="4" w:space="0"/>
            </w:tcBorders>
            <w:shd w:val="clear" w:color="auto" w:fill="auto"/>
            <w:noWrap/>
            <w:vAlign w:val="center"/>
          </w:tcPr>
          <w:p w14:paraId="47490B04">
            <w:pPr>
              <w:widowControl/>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1级指标权重w(i)</w:t>
            </w:r>
          </w:p>
        </w:tc>
        <w:tc>
          <w:tcPr>
            <w:tcW w:w="1134" w:type="dxa"/>
            <w:tcBorders>
              <w:top w:val="single" w:color="auto" w:sz="4" w:space="0"/>
              <w:left w:val="nil"/>
              <w:bottom w:val="single" w:color="auto" w:sz="4" w:space="0"/>
              <w:right w:val="single" w:color="auto" w:sz="4" w:space="0"/>
            </w:tcBorders>
            <w:shd w:val="clear" w:color="auto" w:fill="auto"/>
            <w:vAlign w:val="center"/>
          </w:tcPr>
          <w:p w14:paraId="76E2CDC2">
            <w:pPr>
              <w:widowControl/>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2级指标（Cij)</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7684F143">
            <w:pPr>
              <w:widowControl/>
              <w:jc w:val="left"/>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2级指标权重</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3A39752">
            <w:pPr>
              <w:widowControl/>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3级指标</w:t>
            </w:r>
          </w:p>
        </w:tc>
        <w:tc>
          <w:tcPr>
            <w:tcW w:w="850" w:type="dxa"/>
            <w:tcBorders>
              <w:top w:val="single" w:color="auto" w:sz="4" w:space="0"/>
              <w:left w:val="nil"/>
              <w:bottom w:val="single" w:color="auto" w:sz="4" w:space="0"/>
              <w:right w:val="single" w:color="auto" w:sz="4" w:space="0"/>
            </w:tcBorders>
            <w:shd w:val="clear" w:color="auto" w:fill="auto"/>
            <w:noWrap/>
            <w:vAlign w:val="center"/>
          </w:tcPr>
          <w:p w14:paraId="21493970">
            <w:pPr>
              <w:widowControl/>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3级指标权重</w:t>
            </w:r>
          </w:p>
        </w:tc>
        <w:tc>
          <w:tcPr>
            <w:tcW w:w="788" w:type="dxa"/>
            <w:tcBorders>
              <w:top w:val="single" w:color="auto" w:sz="4" w:space="0"/>
              <w:left w:val="nil"/>
              <w:bottom w:val="single" w:color="auto" w:sz="4" w:space="0"/>
              <w:right w:val="single" w:color="auto" w:sz="4" w:space="0"/>
            </w:tcBorders>
            <w:shd w:val="clear" w:color="auto" w:fill="auto"/>
            <w:noWrap/>
            <w:vAlign w:val="center"/>
          </w:tcPr>
          <w:p w14:paraId="35B0ADED">
            <w:pPr>
              <w:widowControl/>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实际值</w:t>
            </w:r>
          </w:p>
        </w:tc>
      </w:tr>
      <w:tr w14:paraId="1308980E">
        <w:tblPrEx>
          <w:tblCellMar>
            <w:top w:w="0" w:type="dxa"/>
            <w:left w:w="108" w:type="dxa"/>
            <w:bottom w:w="0" w:type="dxa"/>
            <w:right w:w="108" w:type="dxa"/>
          </w:tblCellMar>
        </w:tblPrEx>
        <w:trPr>
          <w:trHeight w:val="828" w:hRule="atLeast"/>
          <w:jc w:val="center"/>
        </w:trPr>
        <w:tc>
          <w:tcPr>
            <w:tcW w:w="988" w:type="dxa"/>
            <w:vMerge w:val="restart"/>
            <w:tcBorders>
              <w:top w:val="nil"/>
              <w:left w:val="single" w:color="auto" w:sz="4" w:space="0"/>
              <w:bottom w:val="single" w:color="auto" w:sz="4" w:space="0"/>
              <w:right w:val="single" w:color="auto" w:sz="4" w:space="0"/>
            </w:tcBorders>
            <w:shd w:val="clear" w:color="auto" w:fill="auto"/>
            <w:vAlign w:val="center"/>
          </w:tcPr>
          <w:p w14:paraId="3B376CF5">
            <w:pPr>
              <w:widowControl/>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区域综交通系统经济适应性评指标</w:t>
            </w:r>
          </w:p>
        </w:tc>
        <w:tc>
          <w:tcPr>
            <w:tcW w:w="786" w:type="dxa"/>
            <w:vMerge w:val="restart"/>
            <w:tcBorders>
              <w:top w:val="nil"/>
              <w:left w:val="single" w:color="auto" w:sz="4" w:space="0"/>
              <w:bottom w:val="single" w:color="auto" w:sz="4" w:space="0"/>
              <w:right w:val="single" w:color="auto" w:sz="4" w:space="0"/>
            </w:tcBorders>
            <w:shd w:val="clear" w:color="auto" w:fill="auto"/>
            <w:noWrap/>
            <w:vAlign w:val="center"/>
          </w:tcPr>
          <w:p w14:paraId="77CAB84C">
            <w:pPr>
              <w:widowControl/>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总量规模</w:t>
            </w:r>
          </w:p>
        </w:tc>
        <w:tc>
          <w:tcPr>
            <w:tcW w:w="915" w:type="dxa"/>
            <w:vMerge w:val="restart"/>
            <w:tcBorders>
              <w:top w:val="nil"/>
              <w:left w:val="single" w:color="auto" w:sz="4" w:space="0"/>
              <w:bottom w:val="single" w:color="auto" w:sz="4" w:space="0"/>
              <w:right w:val="single" w:color="auto" w:sz="4" w:space="0"/>
            </w:tcBorders>
            <w:shd w:val="clear" w:color="auto" w:fill="auto"/>
            <w:noWrap/>
            <w:vAlign w:val="center"/>
          </w:tcPr>
          <w:p w14:paraId="370AD168">
            <w:pPr>
              <w:widowControl/>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0.5</w:t>
            </w:r>
          </w:p>
        </w:tc>
        <w:tc>
          <w:tcPr>
            <w:tcW w:w="1134" w:type="dxa"/>
            <w:vMerge w:val="restart"/>
            <w:tcBorders>
              <w:top w:val="nil"/>
              <w:left w:val="single" w:color="auto" w:sz="4" w:space="0"/>
              <w:bottom w:val="single" w:color="auto" w:sz="4" w:space="0"/>
              <w:right w:val="single" w:color="auto" w:sz="4" w:space="0"/>
            </w:tcBorders>
            <w:shd w:val="clear" w:color="auto" w:fill="auto"/>
            <w:vAlign w:val="center"/>
          </w:tcPr>
          <w:p w14:paraId="087D5E8A">
            <w:pPr>
              <w:widowControl/>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设施与投资规模适应性</w:t>
            </w:r>
          </w:p>
        </w:tc>
        <w:tc>
          <w:tcPr>
            <w:tcW w:w="1134" w:type="dxa"/>
            <w:vMerge w:val="restart"/>
            <w:tcBorders>
              <w:top w:val="nil"/>
              <w:left w:val="single" w:color="auto" w:sz="4" w:space="0"/>
              <w:bottom w:val="single" w:color="auto" w:sz="4" w:space="0"/>
              <w:right w:val="single" w:color="auto" w:sz="4" w:space="0"/>
            </w:tcBorders>
            <w:shd w:val="clear" w:color="auto" w:fill="auto"/>
            <w:noWrap/>
            <w:vAlign w:val="center"/>
          </w:tcPr>
          <w:p w14:paraId="7CD4F7CF">
            <w:pPr>
              <w:widowControl/>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0.4</w:t>
            </w:r>
          </w:p>
        </w:tc>
        <w:tc>
          <w:tcPr>
            <w:tcW w:w="1701" w:type="dxa"/>
            <w:tcBorders>
              <w:top w:val="nil"/>
              <w:left w:val="nil"/>
              <w:bottom w:val="single" w:color="auto" w:sz="4" w:space="0"/>
              <w:right w:val="single" w:color="auto" w:sz="4" w:space="0"/>
            </w:tcBorders>
            <w:shd w:val="clear" w:color="auto" w:fill="auto"/>
            <w:noWrap/>
            <w:vAlign w:val="center"/>
          </w:tcPr>
          <w:p w14:paraId="036791F7">
            <w:pPr>
              <w:widowControl/>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交通运网综合密度</w:t>
            </w:r>
          </w:p>
        </w:tc>
        <w:tc>
          <w:tcPr>
            <w:tcW w:w="850" w:type="dxa"/>
            <w:tcBorders>
              <w:top w:val="nil"/>
              <w:left w:val="nil"/>
              <w:bottom w:val="single" w:color="auto" w:sz="4" w:space="0"/>
              <w:right w:val="single" w:color="auto" w:sz="4" w:space="0"/>
            </w:tcBorders>
            <w:shd w:val="clear" w:color="auto" w:fill="auto"/>
            <w:noWrap/>
            <w:vAlign w:val="center"/>
          </w:tcPr>
          <w:p w14:paraId="03384BD8">
            <w:pPr>
              <w:widowControl/>
              <w:jc w:val="right"/>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0.375</w:t>
            </w:r>
          </w:p>
        </w:tc>
        <w:tc>
          <w:tcPr>
            <w:tcW w:w="788" w:type="dxa"/>
            <w:tcBorders>
              <w:top w:val="nil"/>
              <w:left w:val="nil"/>
              <w:bottom w:val="single" w:color="auto" w:sz="4" w:space="0"/>
              <w:right w:val="single" w:color="auto" w:sz="4" w:space="0"/>
            </w:tcBorders>
            <w:shd w:val="clear" w:color="auto" w:fill="auto"/>
            <w:noWrap/>
            <w:vAlign w:val="center"/>
          </w:tcPr>
          <w:p w14:paraId="74CE8835">
            <w:pPr>
              <w:widowControl/>
              <w:jc w:val="right"/>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21.3</w:t>
            </w:r>
          </w:p>
        </w:tc>
      </w:tr>
      <w:tr w14:paraId="63A435C9">
        <w:tblPrEx>
          <w:tblCellMar>
            <w:top w:w="0" w:type="dxa"/>
            <w:left w:w="108" w:type="dxa"/>
            <w:bottom w:w="0" w:type="dxa"/>
            <w:right w:w="108" w:type="dxa"/>
          </w:tblCellMar>
        </w:tblPrEx>
        <w:trPr>
          <w:trHeight w:val="552" w:hRule="atLeast"/>
          <w:jc w:val="center"/>
        </w:trPr>
        <w:tc>
          <w:tcPr>
            <w:tcW w:w="988" w:type="dxa"/>
            <w:vMerge w:val="continue"/>
            <w:tcBorders>
              <w:top w:val="nil"/>
              <w:left w:val="single" w:color="auto" w:sz="4" w:space="0"/>
              <w:bottom w:val="single" w:color="auto" w:sz="4" w:space="0"/>
              <w:right w:val="single" w:color="auto" w:sz="4" w:space="0"/>
            </w:tcBorders>
            <w:vAlign w:val="center"/>
          </w:tcPr>
          <w:p w14:paraId="53C6A2DC">
            <w:pPr>
              <w:widowControl/>
              <w:jc w:val="left"/>
              <w:rPr>
                <w:rFonts w:ascii="华文仿宋" w:hAnsi="华文仿宋" w:eastAsia="华文仿宋" w:cs="宋体"/>
                <w:color w:val="000000"/>
                <w:kern w:val="0"/>
                <w:sz w:val="24"/>
              </w:rPr>
            </w:pPr>
          </w:p>
        </w:tc>
        <w:tc>
          <w:tcPr>
            <w:tcW w:w="786" w:type="dxa"/>
            <w:vMerge w:val="continue"/>
            <w:tcBorders>
              <w:top w:val="nil"/>
              <w:left w:val="single" w:color="auto" w:sz="4" w:space="0"/>
              <w:bottom w:val="single" w:color="auto" w:sz="4" w:space="0"/>
              <w:right w:val="single" w:color="auto" w:sz="4" w:space="0"/>
            </w:tcBorders>
            <w:vAlign w:val="center"/>
          </w:tcPr>
          <w:p w14:paraId="5CA20532">
            <w:pPr>
              <w:widowControl/>
              <w:jc w:val="left"/>
              <w:rPr>
                <w:rFonts w:ascii="华文仿宋" w:hAnsi="华文仿宋" w:eastAsia="华文仿宋" w:cs="宋体"/>
                <w:color w:val="000000"/>
                <w:kern w:val="0"/>
                <w:sz w:val="24"/>
              </w:rPr>
            </w:pPr>
          </w:p>
        </w:tc>
        <w:tc>
          <w:tcPr>
            <w:tcW w:w="915" w:type="dxa"/>
            <w:vMerge w:val="continue"/>
            <w:tcBorders>
              <w:top w:val="nil"/>
              <w:left w:val="single" w:color="auto" w:sz="4" w:space="0"/>
              <w:bottom w:val="single" w:color="auto" w:sz="4" w:space="0"/>
              <w:right w:val="single" w:color="auto" w:sz="4" w:space="0"/>
            </w:tcBorders>
            <w:vAlign w:val="center"/>
          </w:tcPr>
          <w:p w14:paraId="335322E7">
            <w:pPr>
              <w:widowControl/>
              <w:jc w:val="left"/>
              <w:rPr>
                <w:rFonts w:ascii="华文仿宋" w:hAnsi="华文仿宋" w:eastAsia="华文仿宋" w:cs="宋体"/>
                <w:color w:val="000000"/>
                <w:kern w:val="0"/>
                <w:sz w:val="24"/>
              </w:rPr>
            </w:pPr>
          </w:p>
        </w:tc>
        <w:tc>
          <w:tcPr>
            <w:tcW w:w="1134" w:type="dxa"/>
            <w:vMerge w:val="continue"/>
            <w:tcBorders>
              <w:top w:val="nil"/>
              <w:left w:val="single" w:color="auto" w:sz="4" w:space="0"/>
              <w:bottom w:val="single" w:color="auto" w:sz="4" w:space="0"/>
              <w:right w:val="single" w:color="auto" w:sz="4" w:space="0"/>
            </w:tcBorders>
            <w:vAlign w:val="center"/>
          </w:tcPr>
          <w:p w14:paraId="3F7CA8A3">
            <w:pPr>
              <w:widowControl/>
              <w:jc w:val="left"/>
              <w:rPr>
                <w:rFonts w:ascii="华文仿宋" w:hAnsi="华文仿宋" w:eastAsia="华文仿宋" w:cs="宋体"/>
                <w:color w:val="000000"/>
                <w:kern w:val="0"/>
                <w:sz w:val="24"/>
              </w:rPr>
            </w:pPr>
          </w:p>
        </w:tc>
        <w:tc>
          <w:tcPr>
            <w:tcW w:w="1134" w:type="dxa"/>
            <w:vMerge w:val="continue"/>
            <w:tcBorders>
              <w:top w:val="nil"/>
              <w:left w:val="single" w:color="auto" w:sz="4" w:space="0"/>
              <w:bottom w:val="single" w:color="auto" w:sz="4" w:space="0"/>
              <w:right w:val="single" w:color="auto" w:sz="4" w:space="0"/>
            </w:tcBorders>
            <w:vAlign w:val="center"/>
          </w:tcPr>
          <w:p w14:paraId="2A2626B6">
            <w:pPr>
              <w:widowControl/>
              <w:jc w:val="left"/>
              <w:rPr>
                <w:rFonts w:ascii="华文仿宋" w:hAnsi="华文仿宋" w:eastAsia="华文仿宋" w:cs="宋体"/>
                <w:color w:val="000000"/>
                <w:kern w:val="0"/>
                <w:sz w:val="24"/>
              </w:rPr>
            </w:pPr>
          </w:p>
        </w:tc>
        <w:tc>
          <w:tcPr>
            <w:tcW w:w="1701" w:type="dxa"/>
            <w:tcBorders>
              <w:top w:val="nil"/>
              <w:left w:val="nil"/>
              <w:bottom w:val="single" w:color="auto" w:sz="4" w:space="0"/>
              <w:right w:val="single" w:color="auto" w:sz="4" w:space="0"/>
            </w:tcBorders>
            <w:shd w:val="clear" w:color="auto" w:fill="auto"/>
            <w:noWrap/>
            <w:vAlign w:val="center"/>
          </w:tcPr>
          <w:p w14:paraId="27964FF9">
            <w:pPr>
              <w:widowControl/>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运网等级水平指数</w:t>
            </w:r>
          </w:p>
        </w:tc>
        <w:tc>
          <w:tcPr>
            <w:tcW w:w="850" w:type="dxa"/>
            <w:tcBorders>
              <w:top w:val="nil"/>
              <w:left w:val="nil"/>
              <w:bottom w:val="single" w:color="auto" w:sz="4" w:space="0"/>
              <w:right w:val="single" w:color="auto" w:sz="4" w:space="0"/>
            </w:tcBorders>
            <w:shd w:val="clear" w:color="auto" w:fill="auto"/>
            <w:noWrap/>
            <w:vAlign w:val="center"/>
          </w:tcPr>
          <w:p w14:paraId="72EC5557">
            <w:pPr>
              <w:widowControl/>
              <w:jc w:val="right"/>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0.375</w:t>
            </w:r>
          </w:p>
        </w:tc>
        <w:tc>
          <w:tcPr>
            <w:tcW w:w="788" w:type="dxa"/>
            <w:tcBorders>
              <w:top w:val="nil"/>
              <w:left w:val="nil"/>
              <w:bottom w:val="single" w:color="auto" w:sz="4" w:space="0"/>
              <w:right w:val="single" w:color="auto" w:sz="4" w:space="0"/>
            </w:tcBorders>
            <w:shd w:val="clear" w:color="auto" w:fill="auto"/>
            <w:noWrap/>
            <w:vAlign w:val="center"/>
          </w:tcPr>
          <w:p w14:paraId="384636C3">
            <w:pPr>
              <w:widowControl/>
              <w:jc w:val="right"/>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2.537</w:t>
            </w:r>
          </w:p>
        </w:tc>
      </w:tr>
      <w:tr w14:paraId="61D4B987">
        <w:tblPrEx>
          <w:tblCellMar>
            <w:top w:w="0" w:type="dxa"/>
            <w:left w:w="108" w:type="dxa"/>
            <w:bottom w:w="0" w:type="dxa"/>
            <w:right w:w="108" w:type="dxa"/>
          </w:tblCellMar>
        </w:tblPrEx>
        <w:trPr>
          <w:trHeight w:val="123" w:hRule="atLeast"/>
          <w:jc w:val="center"/>
        </w:trPr>
        <w:tc>
          <w:tcPr>
            <w:tcW w:w="988" w:type="dxa"/>
            <w:vMerge w:val="continue"/>
            <w:tcBorders>
              <w:top w:val="nil"/>
              <w:left w:val="single" w:color="auto" w:sz="4" w:space="0"/>
              <w:bottom w:val="single" w:color="auto" w:sz="4" w:space="0"/>
              <w:right w:val="single" w:color="auto" w:sz="4" w:space="0"/>
            </w:tcBorders>
            <w:vAlign w:val="center"/>
          </w:tcPr>
          <w:p w14:paraId="371A1BCB">
            <w:pPr>
              <w:widowControl/>
              <w:jc w:val="left"/>
              <w:rPr>
                <w:rFonts w:ascii="华文仿宋" w:hAnsi="华文仿宋" w:eastAsia="华文仿宋" w:cs="宋体"/>
                <w:color w:val="000000"/>
                <w:kern w:val="0"/>
                <w:sz w:val="24"/>
              </w:rPr>
            </w:pPr>
          </w:p>
        </w:tc>
        <w:tc>
          <w:tcPr>
            <w:tcW w:w="786" w:type="dxa"/>
            <w:vMerge w:val="continue"/>
            <w:tcBorders>
              <w:top w:val="nil"/>
              <w:left w:val="single" w:color="auto" w:sz="4" w:space="0"/>
              <w:bottom w:val="single" w:color="auto" w:sz="4" w:space="0"/>
              <w:right w:val="single" w:color="auto" w:sz="4" w:space="0"/>
            </w:tcBorders>
            <w:vAlign w:val="center"/>
          </w:tcPr>
          <w:p w14:paraId="3A58BB8B">
            <w:pPr>
              <w:widowControl/>
              <w:jc w:val="left"/>
              <w:rPr>
                <w:rFonts w:ascii="华文仿宋" w:hAnsi="华文仿宋" w:eastAsia="华文仿宋" w:cs="宋体"/>
                <w:color w:val="000000"/>
                <w:kern w:val="0"/>
                <w:sz w:val="24"/>
              </w:rPr>
            </w:pPr>
          </w:p>
        </w:tc>
        <w:tc>
          <w:tcPr>
            <w:tcW w:w="915" w:type="dxa"/>
            <w:vMerge w:val="continue"/>
            <w:tcBorders>
              <w:top w:val="nil"/>
              <w:left w:val="single" w:color="auto" w:sz="4" w:space="0"/>
              <w:bottom w:val="single" w:color="auto" w:sz="4" w:space="0"/>
              <w:right w:val="single" w:color="auto" w:sz="4" w:space="0"/>
            </w:tcBorders>
            <w:vAlign w:val="center"/>
          </w:tcPr>
          <w:p w14:paraId="2C22555A">
            <w:pPr>
              <w:widowControl/>
              <w:jc w:val="left"/>
              <w:rPr>
                <w:rFonts w:ascii="华文仿宋" w:hAnsi="华文仿宋" w:eastAsia="华文仿宋" w:cs="宋体"/>
                <w:color w:val="000000"/>
                <w:kern w:val="0"/>
                <w:sz w:val="24"/>
              </w:rPr>
            </w:pPr>
          </w:p>
        </w:tc>
        <w:tc>
          <w:tcPr>
            <w:tcW w:w="1134" w:type="dxa"/>
            <w:vMerge w:val="continue"/>
            <w:tcBorders>
              <w:top w:val="nil"/>
              <w:left w:val="single" w:color="auto" w:sz="4" w:space="0"/>
              <w:bottom w:val="single" w:color="auto" w:sz="4" w:space="0"/>
              <w:right w:val="single" w:color="auto" w:sz="4" w:space="0"/>
            </w:tcBorders>
            <w:vAlign w:val="center"/>
          </w:tcPr>
          <w:p w14:paraId="0F5FB2F2">
            <w:pPr>
              <w:widowControl/>
              <w:jc w:val="left"/>
              <w:rPr>
                <w:rFonts w:ascii="华文仿宋" w:hAnsi="华文仿宋" w:eastAsia="华文仿宋" w:cs="宋体"/>
                <w:color w:val="000000"/>
                <w:kern w:val="0"/>
                <w:sz w:val="24"/>
              </w:rPr>
            </w:pPr>
          </w:p>
        </w:tc>
        <w:tc>
          <w:tcPr>
            <w:tcW w:w="1134" w:type="dxa"/>
            <w:vMerge w:val="continue"/>
            <w:tcBorders>
              <w:top w:val="nil"/>
              <w:left w:val="single" w:color="auto" w:sz="4" w:space="0"/>
              <w:bottom w:val="single" w:color="auto" w:sz="4" w:space="0"/>
              <w:right w:val="single" w:color="auto" w:sz="4" w:space="0"/>
            </w:tcBorders>
            <w:vAlign w:val="center"/>
          </w:tcPr>
          <w:p w14:paraId="140678EC">
            <w:pPr>
              <w:widowControl/>
              <w:jc w:val="left"/>
              <w:rPr>
                <w:rFonts w:ascii="华文仿宋" w:hAnsi="华文仿宋" w:eastAsia="华文仿宋" w:cs="宋体"/>
                <w:color w:val="000000"/>
                <w:kern w:val="0"/>
                <w:sz w:val="24"/>
              </w:rPr>
            </w:pPr>
          </w:p>
        </w:tc>
        <w:tc>
          <w:tcPr>
            <w:tcW w:w="1701" w:type="dxa"/>
            <w:tcBorders>
              <w:top w:val="nil"/>
              <w:left w:val="nil"/>
              <w:bottom w:val="single" w:color="auto" w:sz="4" w:space="0"/>
              <w:right w:val="single" w:color="auto" w:sz="4" w:space="0"/>
            </w:tcBorders>
            <w:shd w:val="clear" w:color="auto" w:fill="auto"/>
            <w:noWrap/>
            <w:vAlign w:val="center"/>
          </w:tcPr>
          <w:p w14:paraId="30A3E32A">
            <w:pPr>
              <w:widowControl/>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交通投资协调性指数</w:t>
            </w:r>
          </w:p>
        </w:tc>
        <w:tc>
          <w:tcPr>
            <w:tcW w:w="850" w:type="dxa"/>
            <w:tcBorders>
              <w:top w:val="nil"/>
              <w:left w:val="nil"/>
              <w:bottom w:val="single" w:color="auto" w:sz="4" w:space="0"/>
              <w:right w:val="single" w:color="auto" w:sz="4" w:space="0"/>
            </w:tcBorders>
            <w:shd w:val="clear" w:color="auto" w:fill="auto"/>
            <w:noWrap/>
            <w:vAlign w:val="center"/>
          </w:tcPr>
          <w:p w14:paraId="1C6D15BD">
            <w:pPr>
              <w:widowControl/>
              <w:jc w:val="right"/>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0.25</w:t>
            </w:r>
          </w:p>
        </w:tc>
        <w:tc>
          <w:tcPr>
            <w:tcW w:w="788" w:type="dxa"/>
            <w:tcBorders>
              <w:top w:val="nil"/>
              <w:left w:val="nil"/>
              <w:bottom w:val="single" w:color="auto" w:sz="4" w:space="0"/>
              <w:right w:val="single" w:color="auto" w:sz="4" w:space="0"/>
            </w:tcBorders>
            <w:shd w:val="clear" w:color="auto" w:fill="auto"/>
            <w:noWrap/>
            <w:vAlign w:val="center"/>
          </w:tcPr>
          <w:p w14:paraId="27B10E93">
            <w:pPr>
              <w:widowControl/>
              <w:jc w:val="right"/>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1.49</w:t>
            </w:r>
          </w:p>
        </w:tc>
      </w:tr>
      <w:tr w14:paraId="4F7A7EA4">
        <w:tblPrEx>
          <w:tblCellMar>
            <w:top w:w="0" w:type="dxa"/>
            <w:left w:w="108" w:type="dxa"/>
            <w:bottom w:w="0" w:type="dxa"/>
            <w:right w:w="108" w:type="dxa"/>
          </w:tblCellMar>
        </w:tblPrEx>
        <w:trPr>
          <w:trHeight w:val="276" w:hRule="atLeast"/>
          <w:jc w:val="center"/>
        </w:trPr>
        <w:tc>
          <w:tcPr>
            <w:tcW w:w="988" w:type="dxa"/>
            <w:vMerge w:val="continue"/>
            <w:tcBorders>
              <w:top w:val="nil"/>
              <w:left w:val="single" w:color="auto" w:sz="4" w:space="0"/>
              <w:bottom w:val="single" w:color="auto" w:sz="4" w:space="0"/>
              <w:right w:val="single" w:color="auto" w:sz="4" w:space="0"/>
            </w:tcBorders>
            <w:vAlign w:val="center"/>
          </w:tcPr>
          <w:p w14:paraId="22CFFE4A">
            <w:pPr>
              <w:widowControl/>
              <w:jc w:val="left"/>
              <w:rPr>
                <w:rFonts w:ascii="华文仿宋" w:hAnsi="华文仿宋" w:eastAsia="华文仿宋" w:cs="宋体"/>
                <w:color w:val="000000"/>
                <w:kern w:val="0"/>
                <w:sz w:val="24"/>
              </w:rPr>
            </w:pPr>
          </w:p>
        </w:tc>
        <w:tc>
          <w:tcPr>
            <w:tcW w:w="786" w:type="dxa"/>
            <w:vMerge w:val="continue"/>
            <w:tcBorders>
              <w:top w:val="nil"/>
              <w:left w:val="single" w:color="auto" w:sz="4" w:space="0"/>
              <w:bottom w:val="single" w:color="auto" w:sz="4" w:space="0"/>
              <w:right w:val="single" w:color="auto" w:sz="4" w:space="0"/>
            </w:tcBorders>
            <w:vAlign w:val="center"/>
          </w:tcPr>
          <w:p w14:paraId="2DAFC58F">
            <w:pPr>
              <w:widowControl/>
              <w:jc w:val="left"/>
              <w:rPr>
                <w:rFonts w:ascii="华文仿宋" w:hAnsi="华文仿宋" w:eastAsia="华文仿宋" w:cs="宋体"/>
                <w:color w:val="000000"/>
                <w:kern w:val="0"/>
                <w:sz w:val="24"/>
              </w:rPr>
            </w:pPr>
          </w:p>
        </w:tc>
        <w:tc>
          <w:tcPr>
            <w:tcW w:w="915" w:type="dxa"/>
            <w:vMerge w:val="continue"/>
            <w:tcBorders>
              <w:top w:val="nil"/>
              <w:left w:val="single" w:color="auto" w:sz="4" w:space="0"/>
              <w:bottom w:val="single" w:color="auto" w:sz="4" w:space="0"/>
              <w:right w:val="single" w:color="auto" w:sz="4" w:space="0"/>
            </w:tcBorders>
            <w:vAlign w:val="center"/>
          </w:tcPr>
          <w:p w14:paraId="42D17951">
            <w:pPr>
              <w:widowControl/>
              <w:jc w:val="left"/>
              <w:rPr>
                <w:rFonts w:ascii="华文仿宋" w:hAnsi="华文仿宋" w:eastAsia="华文仿宋" w:cs="宋体"/>
                <w:color w:val="000000"/>
                <w:kern w:val="0"/>
                <w:sz w:val="24"/>
              </w:rPr>
            </w:pPr>
          </w:p>
        </w:tc>
        <w:tc>
          <w:tcPr>
            <w:tcW w:w="1134" w:type="dxa"/>
            <w:vMerge w:val="restart"/>
            <w:tcBorders>
              <w:top w:val="nil"/>
              <w:left w:val="single" w:color="auto" w:sz="4" w:space="0"/>
              <w:bottom w:val="single" w:color="auto" w:sz="4" w:space="0"/>
              <w:right w:val="single" w:color="auto" w:sz="4" w:space="0"/>
            </w:tcBorders>
            <w:shd w:val="clear" w:color="auto" w:fill="auto"/>
            <w:vAlign w:val="center"/>
          </w:tcPr>
          <w:p w14:paraId="7F41412C">
            <w:pPr>
              <w:widowControl/>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综合运输能力适应性</w:t>
            </w:r>
          </w:p>
        </w:tc>
        <w:tc>
          <w:tcPr>
            <w:tcW w:w="1134" w:type="dxa"/>
            <w:vMerge w:val="restart"/>
            <w:tcBorders>
              <w:top w:val="nil"/>
              <w:left w:val="single" w:color="auto" w:sz="4" w:space="0"/>
              <w:bottom w:val="single" w:color="auto" w:sz="4" w:space="0"/>
              <w:right w:val="single" w:color="auto" w:sz="4" w:space="0"/>
            </w:tcBorders>
            <w:shd w:val="clear" w:color="auto" w:fill="auto"/>
            <w:noWrap/>
            <w:vAlign w:val="center"/>
          </w:tcPr>
          <w:p w14:paraId="2F46EA36">
            <w:pPr>
              <w:widowControl/>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0.6</w:t>
            </w:r>
          </w:p>
        </w:tc>
        <w:tc>
          <w:tcPr>
            <w:tcW w:w="1701" w:type="dxa"/>
            <w:tcBorders>
              <w:top w:val="nil"/>
              <w:left w:val="nil"/>
              <w:bottom w:val="single" w:color="auto" w:sz="4" w:space="0"/>
              <w:right w:val="single" w:color="auto" w:sz="4" w:space="0"/>
            </w:tcBorders>
            <w:shd w:val="clear" w:color="auto" w:fill="auto"/>
            <w:noWrap/>
            <w:vAlign w:val="center"/>
          </w:tcPr>
          <w:p w14:paraId="5D65522A">
            <w:pPr>
              <w:widowControl/>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货运强度</w:t>
            </w:r>
          </w:p>
        </w:tc>
        <w:tc>
          <w:tcPr>
            <w:tcW w:w="850" w:type="dxa"/>
            <w:tcBorders>
              <w:top w:val="nil"/>
              <w:left w:val="nil"/>
              <w:bottom w:val="single" w:color="auto" w:sz="4" w:space="0"/>
              <w:right w:val="single" w:color="auto" w:sz="4" w:space="0"/>
            </w:tcBorders>
            <w:shd w:val="clear" w:color="auto" w:fill="auto"/>
            <w:noWrap/>
            <w:vAlign w:val="center"/>
          </w:tcPr>
          <w:p w14:paraId="0EBD9E91">
            <w:pPr>
              <w:widowControl/>
              <w:jc w:val="right"/>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0.5</w:t>
            </w:r>
          </w:p>
        </w:tc>
        <w:tc>
          <w:tcPr>
            <w:tcW w:w="788" w:type="dxa"/>
            <w:tcBorders>
              <w:top w:val="nil"/>
              <w:left w:val="nil"/>
              <w:bottom w:val="single" w:color="auto" w:sz="4" w:space="0"/>
              <w:right w:val="single" w:color="auto" w:sz="4" w:space="0"/>
            </w:tcBorders>
            <w:shd w:val="clear" w:color="auto" w:fill="auto"/>
            <w:noWrap/>
            <w:vAlign w:val="center"/>
          </w:tcPr>
          <w:p w14:paraId="0D7ACFFA">
            <w:pPr>
              <w:widowControl/>
              <w:jc w:val="right"/>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10.638</w:t>
            </w:r>
          </w:p>
        </w:tc>
      </w:tr>
      <w:tr w14:paraId="08266F8B">
        <w:tblPrEx>
          <w:tblCellMar>
            <w:top w:w="0" w:type="dxa"/>
            <w:left w:w="108" w:type="dxa"/>
            <w:bottom w:w="0" w:type="dxa"/>
            <w:right w:w="108" w:type="dxa"/>
          </w:tblCellMar>
        </w:tblPrEx>
        <w:trPr>
          <w:trHeight w:val="127" w:hRule="atLeast"/>
          <w:jc w:val="center"/>
        </w:trPr>
        <w:tc>
          <w:tcPr>
            <w:tcW w:w="988" w:type="dxa"/>
            <w:vMerge w:val="continue"/>
            <w:tcBorders>
              <w:top w:val="nil"/>
              <w:left w:val="single" w:color="auto" w:sz="4" w:space="0"/>
              <w:bottom w:val="single" w:color="auto" w:sz="4" w:space="0"/>
              <w:right w:val="single" w:color="auto" w:sz="4" w:space="0"/>
            </w:tcBorders>
            <w:vAlign w:val="center"/>
          </w:tcPr>
          <w:p w14:paraId="34177AE1">
            <w:pPr>
              <w:widowControl/>
              <w:jc w:val="left"/>
              <w:rPr>
                <w:rFonts w:ascii="华文仿宋" w:hAnsi="华文仿宋" w:eastAsia="华文仿宋" w:cs="宋体"/>
                <w:color w:val="000000"/>
                <w:kern w:val="0"/>
                <w:sz w:val="24"/>
              </w:rPr>
            </w:pPr>
          </w:p>
        </w:tc>
        <w:tc>
          <w:tcPr>
            <w:tcW w:w="786" w:type="dxa"/>
            <w:vMerge w:val="continue"/>
            <w:tcBorders>
              <w:top w:val="nil"/>
              <w:left w:val="single" w:color="auto" w:sz="4" w:space="0"/>
              <w:bottom w:val="single" w:color="auto" w:sz="4" w:space="0"/>
              <w:right w:val="single" w:color="auto" w:sz="4" w:space="0"/>
            </w:tcBorders>
            <w:vAlign w:val="center"/>
          </w:tcPr>
          <w:p w14:paraId="0922086E">
            <w:pPr>
              <w:widowControl/>
              <w:jc w:val="left"/>
              <w:rPr>
                <w:rFonts w:ascii="华文仿宋" w:hAnsi="华文仿宋" w:eastAsia="华文仿宋" w:cs="宋体"/>
                <w:color w:val="000000"/>
                <w:kern w:val="0"/>
                <w:sz w:val="24"/>
              </w:rPr>
            </w:pPr>
          </w:p>
        </w:tc>
        <w:tc>
          <w:tcPr>
            <w:tcW w:w="915" w:type="dxa"/>
            <w:vMerge w:val="continue"/>
            <w:tcBorders>
              <w:top w:val="nil"/>
              <w:left w:val="single" w:color="auto" w:sz="4" w:space="0"/>
              <w:bottom w:val="single" w:color="auto" w:sz="4" w:space="0"/>
              <w:right w:val="single" w:color="auto" w:sz="4" w:space="0"/>
            </w:tcBorders>
            <w:vAlign w:val="center"/>
          </w:tcPr>
          <w:p w14:paraId="4339E448">
            <w:pPr>
              <w:widowControl/>
              <w:jc w:val="left"/>
              <w:rPr>
                <w:rFonts w:ascii="华文仿宋" w:hAnsi="华文仿宋" w:eastAsia="华文仿宋" w:cs="宋体"/>
                <w:color w:val="000000"/>
                <w:kern w:val="0"/>
                <w:sz w:val="24"/>
              </w:rPr>
            </w:pPr>
          </w:p>
        </w:tc>
        <w:tc>
          <w:tcPr>
            <w:tcW w:w="1134" w:type="dxa"/>
            <w:vMerge w:val="continue"/>
            <w:tcBorders>
              <w:top w:val="nil"/>
              <w:left w:val="single" w:color="auto" w:sz="4" w:space="0"/>
              <w:bottom w:val="single" w:color="auto" w:sz="4" w:space="0"/>
              <w:right w:val="single" w:color="auto" w:sz="4" w:space="0"/>
            </w:tcBorders>
            <w:vAlign w:val="center"/>
          </w:tcPr>
          <w:p w14:paraId="2B42A2E9">
            <w:pPr>
              <w:widowControl/>
              <w:jc w:val="left"/>
              <w:rPr>
                <w:rFonts w:ascii="华文仿宋" w:hAnsi="华文仿宋" w:eastAsia="华文仿宋" w:cs="宋体"/>
                <w:color w:val="000000"/>
                <w:kern w:val="0"/>
                <w:sz w:val="24"/>
              </w:rPr>
            </w:pPr>
          </w:p>
        </w:tc>
        <w:tc>
          <w:tcPr>
            <w:tcW w:w="1134" w:type="dxa"/>
            <w:vMerge w:val="continue"/>
            <w:tcBorders>
              <w:top w:val="nil"/>
              <w:left w:val="single" w:color="auto" w:sz="4" w:space="0"/>
              <w:bottom w:val="single" w:color="auto" w:sz="4" w:space="0"/>
              <w:right w:val="single" w:color="auto" w:sz="4" w:space="0"/>
            </w:tcBorders>
            <w:vAlign w:val="center"/>
          </w:tcPr>
          <w:p w14:paraId="35C1ADA4">
            <w:pPr>
              <w:widowControl/>
              <w:jc w:val="left"/>
              <w:rPr>
                <w:rFonts w:ascii="华文仿宋" w:hAnsi="华文仿宋" w:eastAsia="华文仿宋" w:cs="宋体"/>
                <w:color w:val="000000"/>
                <w:kern w:val="0"/>
                <w:sz w:val="24"/>
              </w:rPr>
            </w:pPr>
          </w:p>
        </w:tc>
        <w:tc>
          <w:tcPr>
            <w:tcW w:w="1701" w:type="dxa"/>
            <w:tcBorders>
              <w:top w:val="nil"/>
              <w:left w:val="nil"/>
              <w:bottom w:val="single" w:color="auto" w:sz="4" w:space="0"/>
              <w:right w:val="single" w:color="auto" w:sz="4" w:space="0"/>
            </w:tcBorders>
            <w:shd w:val="clear" w:color="auto" w:fill="auto"/>
            <w:noWrap/>
            <w:vAlign w:val="center"/>
          </w:tcPr>
          <w:p w14:paraId="24F67119">
            <w:pPr>
              <w:widowControl/>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客运强度</w:t>
            </w:r>
          </w:p>
        </w:tc>
        <w:tc>
          <w:tcPr>
            <w:tcW w:w="850" w:type="dxa"/>
            <w:tcBorders>
              <w:top w:val="nil"/>
              <w:left w:val="nil"/>
              <w:bottom w:val="single" w:color="auto" w:sz="4" w:space="0"/>
              <w:right w:val="single" w:color="auto" w:sz="4" w:space="0"/>
            </w:tcBorders>
            <w:shd w:val="clear" w:color="auto" w:fill="auto"/>
            <w:noWrap/>
            <w:vAlign w:val="center"/>
          </w:tcPr>
          <w:p w14:paraId="5A01F2EE">
            <w:pPr>
              <w:widowControl/>
              <w:jc w:val="right"/>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0.5</w:t>
            </w:r>
          </w:p>
        </w:tc>
        <w:tc>
          <w:tcPr>
            <w:tcW w:w="788" w:type="dxa"/>
            <w:tcBorders>
              <w:top w:val="nil"/>
              <w:left w:val="nil"/>
              <w:bottom w:val="single" w:color="auto" w:sz="4" w:space="0"/>
              <w:right w:val="single" w:color="auto" w:sz="4" w:space="0"/>
            </w:tcBorders>
            <w:shd w:val="clear" w:color="auto" w:fill="auto"/>
            <w:noWrap/>
            <w:vAlign w:val="center"/>
          </w:tcPr>
          <w:p w14:paraId="56D48024">
            <w:pPr>
              <w:widowControl/>
              <w:jc w:val="right"/>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7.899</w:t>
            </w:r>
          </w:p>
        </w:tc>
      </w:tr>
      <w:tr w14:paraId="7EFDE4CF">
        <w:tblPrEx>
          <w:tblCellMar>
            <w:top w:w="0" w:type="dxa"/>
            <w:left w:w="108" w:type="dxa"/>
            <w:bottom w:w="0" w:type="dxa"/>
            <w:right w:w="108" w:type="dxa"/>
          </w:tblCellMar>
        </w:tblPrEx>
        <w:trPr>
          <w:trHeight w:val="1380" w:hRule="atLeast"/>
          <w:jc w:val="center"/>
        </w:trPr>
        <w:tc>
          <w:tcPr>
            <w:tcW w:w="988" w:type="dxa"/>
            <w:vMerge w:val="continue"/>
            <w:tcBorders>
              <w:top w:val="nil"/>
              <w:left w:val="single" w:color="auto" w:sz="4" w:space="0"/>
              <w:bottom w:val="single" w:color="auto" w:sz="4" w:space="0"/>
              <w:right w:val="single" w:color="auto" w:sz="4" w:space="0"/>
            </w:tcBorders>
            <w:vAlign w:val="center"/>
          </w:tcPr>
          <w:p w14:paraId="438A056F">
            <w:pPr>
              <w:widowControl/>
              <w:jc w:val="left"/>
              <w:rPr>
                <w:rFonts w:ascii="华文仿宋" w:hAnsi="华文仿宋" w:eastAsia="华文仿宋" w:cs="宋体"/>
                <w:color w:val="000000"/>
                <w:kern w:val="0"/>
                <w:sz w:val="24"/>
              </w:rPr>
            </w:pPr>
          </w:p>
        </w:tc>
        <w:tc>
          <w:tcPr>
            <w:tcW w:w="786" w:type="dxa"/>
            <w:vMerge w:val="restart"/>
            <w:tcBorders>
              <w:top w:val="nil"/>
              <w:left w:val="single" w:color="auto" w:sz="4" w:space="0"/>
              <w:bottom w:val="single" w:color="auto" w:sz="4" w:space="0"/>
              <w:right w:val="single" w:color="auto" w:sz="4" w:space="0"/>
            </w:tcBorders>
            <w:shd w:val="clear" w:color="auto" w:fill="auto"/>
            <w:noWrap/>
            <w:vAlign w:val="center"/>
          </w:tcPr>
          <w:p w14:paraId="0EE6F25B">
            <w:pPr>
              <w:widowControl/>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运输结构</w:t>
            </w:r>
          </w:p>
        </w:tc>
        <w:tc>
          <w:tcPr>
            <w:tcW w:w="915" w:type="dxa"/>
            <w:vMerge w:val="restart"/>
            <w:tcBorders>
              <w:top w:val="nil"/>
              <w:left w:val="single" w:color="auto" w:sz="4" w:space="0"/>
              <w:bottom w:val="single" w:color="auto" w:sz="4" w:space="0"/>
              <w:right w:val="single" w:color="auto" w:sz="4" w:space="0"/>
            </w:tcBorders>
            <w:shd w:val="clear" w:color="auto" w:fill="auto"/>
            <w:noWrap/>
            <w:vAlign w:val="center"/>
          </w:tcPr>
          <w:p w14:paraId="5549D305">
            <w:pPr>
              <w:widowControl/>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0.3333</w:t>
            </w:r>
          </w:p>
        </w:tc>
        <w:tc>
          <w:tcPr>
            <w:tcW w:w="1134" w:type="dxa"/>
            <w:vMerge w:val="restart"/>
            <w:tcBorders>
              <w:top w:val="nil"/>
              <w:left w:val="single" w:color="auto" w:sz="4" w:space="0"/>
              <w:bottom w:val="single" w:color="auto" w:sz="4" w:space="0"/>
              <w:right w:val="single" w:color="auto" w:sz="4" w:space="0"/>
            </w:tcBorders>
            <w:shd w:val="clear" w:color="auto" w:fill="auto"/>
            <w:vAlign w:val="center"/>
          </w:tcPr>
          <w:p w14:paraId="5E7F5A1C">
            <w:pPr>
              <w:widowControl/>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与产业结构的协调性</w:t>
            </w:r>
          </w:p>
        </w:tc>
        <w:tc>
          <w:tcPr>
            <w:tcW w:w="1134" w:type="dxa"/>
            <w:vMerge w:val="restart"/>
            <w:tcBorders>
              <w:top w:val="nil"/>
              <w:left w:val="single" w:color="auto" w:sz="4" w:space="0"/>
              <w:bottom w:val="single" w:color="auto" w:sz="4" w:space="0"/>
              <w:right w:val="single" w:color="auto" w:sz="4" w:space="0"/>
            </w:tcBorders>
            <w:shd w:val="clear" w:color="auto" w:fill="auto"/>
            <w:noWrap/>
            <w:vAlign w:val="center"/>
          </w:tcPr>
          <w:p w14:paraId="36D79D2E">
            <w:pPr>
              <w:widowControl/>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0.45</w:t>
            </w:r>
          </w:p>
        </w:tc>
        <w:tc>
          <w:tcPr>
            <w:tcW w:w="1701" w:type="dxa"/>
            <w:tcBorders>
              <w:top w:val="nil"/>
              <w:left w:val="nil"/>
              <w:bottom w:val="single" w:color="auto" w:sz="4" w:space="0"/>
              <w:right w:val="single" w:color="auto" w:sz="4" w:space="0"/>
            </w:tcBorders>
            <w:shd w:val="clear" w:color="auto" w:fill="auto"/>
            <w:noWrap/>
            <w:vAlign w:val="center"/>
          </w:tcPr>
          <w:p w14:paraId="3E613C0B">
            <w:pPr>
              <w:widowControl/>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货运量与第一、第二产业发展协调指数</w:t>
            </w:r>
          </w:p>
        </w:tc>
        <w:tc>
          <w:tcPr>
            <w:tcW w:w="850" w:type="dxa"/>
            <w:tcBorders>
              <w:top w:val="nil"/>
              <w:left w:val="nil"/>
              <w:bottom w:val="single" w:color="auto" w:sz="4" w:space="0"/>
              <w:right w:val="single" w:color="auto" w:sz="4" w:space="0"/>
            </w:tcBorders>
            <w:shd w:val="clear" w:color="auto" w:fill="auto"/>
            <w:noWrap/>
            <w:vAlign w:val="center"/>
          </w:tcPr>
          <w:p w14:paraId="7E85DDE3">
            <w:pPr>
              <w:widowControl/>
              <w:jc w:val="right"/>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0.45</w:t>
            </w:r>
          </w:p>
        </w:tc>
        <w:tc>
          <w:tcPr>
            <w:tcW w:w="788" w:type="dxa"/>
            <w:tcBorders>
              <w:top w:val="nil"/>
              <w:left w:val="nil"/>
              <w:bottom w:val="single" w:color="auto" w:sz="4" w:space="0"/>
              <w:right w:val="single" w:color="auto" w:sz="4" w:space="0"/>
            </w:tcBorders>
            <w:shd w:val="clear" w:color="auto" w:fill="auto"/>
            <w:noWrap/>
            <w:vAlign w:val="center"/>
          </w:tcPr>
          <w:p w14:paraId="4E246C0B">
            <w:pPr>
              <w:widowControl/>
              <w:jc w:val="right"/>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0.45</w:t>
            </w:r>
          </w:p>
        </w:tc>
      </w:tr>
      <w:tr w14:paraId="40BBFB4C">
        <w:tblPrEx>
          <w:tblCellMar>
            <w:top w:w="0" w:type="dxa"/>
            <w:left w:w="108" w:type="dxa"/>
            <w:bottom w:w="0" w:type="dxa"/>
            <w:right w:w="108" w:type="dxa"/>
          </w:tblCellMar>
        </w:tblPrEx>
        <w:trPr>
          <w:trHeight w:val="58" w:hRule="atLeast"/>
          <w:jc w:val="center"/>
        </w:trPr>
        <w:tc>
          <w:tcPr>
            <w:tcW w:w="988" w:type="dxa"/>
            <w:vMerge w:val="continue"/>
            <w:tcBorders>
              <w:top w:val="nil"/>
              <w:left w:val="single" w:color="auto" w:sz="4" w:space="0"/>
              <w:bottom w:val="single" w:color="auto" w:sz="4" w:space="0"/>
              <w:right w:val="single" w:color="auto" w:sz="4" w:space="0"/>
            </w:tcBorders>
            <w:vAlign w:val="center"/>
          </w:tcPr>
          <w:p w14:paraId="21D1157D">
            <w:pPr>
              <w:widowControl/>
              <w:jc w:val="left"/>
              <w:rPr>
                <w:rFonts w:ascii="华文仿宋" w:hAnsi="华文仿宋" w:eastAsia="华文仿宋" w:cs="宋体"/>
                <w:color w:val="000000"/>
                <w:kern w:val="0"/>
                <w:sz w:val="24"/>
              </w:rPr>
            </w:pPr>
          </w:p>
        </w:tc>
        <w:tc>
          <w:tcPr>
            <w:tcW w:w="786" w:type="dxa"/>
            <w:vMerge w:val="continue"/>
            <w:tcBorders>
              <w:top w:val="nil"/>
              <w:left w:val="single" w:color="auto" w:sz="4" w:space="0"/>
              <w:bottom w:val="single" w:color="auto" w:sz="4" w:space="0"/>
              <w:right w:val="single" w:color="auto" w:sz="4" w:space="0"/>
            </w:tcBorders>
            <w:vAlign w:val="center"/>
          </w:tcPr>
          <w:p w14:paraId="5297A6D7">
            <w:pPr>
              <w:widowControl/>
              <w:jc w:val="left"/>
              <w:rPr>
                <w:rFonts w:ascii="华文仿宋" w:hAnsi="华文仿宋" w:eastAsia="华文仿宋" w:cs="宋体"/>
                <w:color w:val="000000"/>
                <w:kern w:val="0"/>
                <w:sz w:val="24"/>
              </w:rPr>
            </w:pPr>
          </w:p>
        </w:tc>
        <w:tc>
          <w:tcPr>
            <w:tcW w:w="915" w:type="dxa"/>
            <w:vMerge w:val="continue"/>
            <w:tcBorders>
              <w:top w:val="nil"/>
              <w:left w:val="single" w:color="auto" w:sz="4" w:space="0"/>
              <w:bottom w:val="single" w:color="auto" w:sz="4" w:space="0"/>
              <w:right w:val="single" w:color="auto" w:sz="4" w:space="0"/>
            </w:tcBorders>
            <w:vAlign w:val="center"/>
          </w:tcPr>
          <w:p w14:paraId="45FE0203">
            <w:pPr>
              <w:widowControl/>
              <w:jc w:val="left"/>
              <w:rPr>
                <w:rFonts w:ascii="华文仿宋" w:hAnsi="华文仿宋" w:eastAsia="华文仿宋" w:cs="宋体"/>
                <w:color w:val="000000"/>
                <w:kern w:val="0"/>
                <w:sz w:val="24"/>
              </w:rPr>
            </w:pPr>
          </w:p>
        </w:tc>
        <w:tc>
          <w:tcPr>
            <w:tcW w:w="1134" w:type="dxa"/>
            <w:vMerge w:val="continue"/>
            <w:tcBorders>
              <w:top w:val="nil"/>
              <w:left w:val="single" w:color="auto" w:sz="4" w:space="0"/>
              <w:bottom w:val="single" w:color="auto" w:sz="4" w:space="0"/>
              <w:right w:val="single" w:color="auto" w:sz="4" w:space="0"/>
            </w:tcBorders>
            <w:vAlign w:val="center"/>
          </w:tcPr>
          <w:p w14:paraId="34670F54">
            <w:pPr>
              <w:widowControl/>
              <w:jc w:val="left"/>
              <w:rPr>
                <w:rFonts w:ascii="华文仿宋" w:hAnsi="华文仿宋" w:eastAsia="华文仿宋" w:cs="宋体"/>
                <w:color w:val="000000"/>
                <w:kern w:val="0"/>
                <w:sz w:val="24"/>
              </w:rPr>
            </w:pPr>
          </w:p>
        </w:tc>
        <w:tc>
          <w:tcPr>
            <w:tcW w:w="1134" w:type="dxa"/>
            <w:vMerge w:val="continue"/>
            <w:tcBorders>
              <w:top w:val="nil"/>
              <w:left w:val="single" w:color="auto" w:sz="4" w:space="0"/>
              <w:bottom w:val="single" w:color="auto" w:sz="4" w:space="0"/>
              <w:right w:val="single" w:color="auto" w:sz="4" w:space="0"/>
            </w:tcBorders>
            <w:vAlign w:val="center"/>
          </w:tcPr>
          <w:p w14:paraId="62A3B3E3">
            <w:pPr>
              <w:widowControl/>
              <w:jc w:val="left"/>
              <w:rPr>
                <w:rFonts w:ascii="华文仿宋" w:hAnsi="华文仿宋" w:eastAsia="华文仿宋" w:cs="宋体"/>
                <w:color w:val="000000"/>
                <w:kern w:val="0"/>
                <w:sz w:val="24"/>
              </w:rPr>
            </w:pPr>
          </w:p>
        </w:tc>
        <w:tc>
          <w:tcPr>
            <w:tcW w:w="1701" w:type="dxa"/>
            <w:tcBorders>
              <w:top w:val="nil"/>
              <w:left w:val="nil"/>
              <w:bottom w:val="single" w:color="auto" w:sz="4" w:space="0"/>
              <w:right w:val="single" w:color="auto" w:sz="4" w:space="0"/>
            </w:tcBorders>
            <w:shd w:val="clear" w:color="auto" w:fill="auto"/>
            <w:noWrap/>
            <w:vAlign w:val="center"/>
          </w:tcPr>
          <w:p w14:paraId="26691070">
            <w:pPr>
              <w:widowControl/>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客运量与第三产业发展协调指数</w:t>
            </w:r>
          </w:p>
        </w:tc>
        <w:tc>
          <w:tcPr>
            <w:tcW w:w="850" w:type="dxa"/>
            <w:tcBorders>
              <w:top w:val="nil"/>
              <w:left w:val="nil"/>
              <w:bottom w:val="single" w:color="auto" w:sz="4" w:space="0"/>
              <w:right w:val="single" w:color="auto" w:sz="4" w:space="0"/>
            </w:tcBorders>
            <w:shd w:val="clear" w:color="auto" w:fill="auto"/>
            <w:noWrap/>
            <w:vAlign w:val="center"/>
          </w:tcPr>
          <w:p w14:paraId="0FBFBC0D">
            <w:pPr>
              <w:widowControl/>
              <w:jc w:val="right"/>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0.55</w:t>
            </w:r>
          </w:p>
        </w:tc>
        <w:tc>
          <w:tcPr>
            <w:tcW w:w="788" w:type="dxa"/>
            <w:tcBorders>
              <w:top w:val="nil"/>
              <w:left w:val="nil"/>
              <w:bottom w:val="single" w:color="auto" w:sz="4" w:space="0"/>
              <w:right w:val="single" w:color="auto" w:sz="4" w:space="0"/>
            </w:tcBorders>
            <w:shd w:val="clear" w:color="auto" w:fill="auto"/>
            <w:noWrap/>
            <w:vAlign w:val="center"/>
          </w:tcPr>
          <w:p w14:paraId="5BA631A8">
            <w:pPr>
              <w:widowControl/>
              <w:jc w:val="right"/>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-0.9</w:t>
            </w:r>
          </w:p>
        </w:tc>
      </w:tr>
      <w:tr w14:paraId="33E0505E">
        <w:tblPrEx>
          <w:tblCellMar>
            <w:top w:w="0" w:type="dxa"/>
            <w:left w:w="108" w:type="dxa"/>
            <w:bottom w:w="0" w:type="dxa"/>
            <w:right w:w="108" w:type="dxa"/>
          </w:tblCellMar>
        </w:tblPrEx>
        <w:trPr>
          <w:trHeight w:val="552" w:hRule="atLeast"/>
          <w:jc w:val="center"/>
        </w:trPr>
        <w:tc>
          <w:tcPr>
            <w:tcW w:w="988" w:type="dxa"/>
            <w:vMerge w:val="continue"/>
            <w:tcBorders>
              <w:top w:val="nil"/>
              <w:left w:val="single" w:color="auto" w:sz="4" w:space="0"/>
              <w:bottom w:val="single" w:color="auto" w:sz="4" w:space="0"/>
              <w:right w:val="single" w:color="auto" w:sz="4" w:space="0"/>
            </w:tcBorders>
            <w:vAlign w:val="center"/>
          </w:tcPr>
          <w:p w14:paraId="2A66B6CE">
            <w:pPr>
              <w:widowControl/>
              <w:jc w:val="left"/>
              <w:rPr>
                <w:rFonts w:ascii="华文仿宋" w:hAnsi="华文仿宋" w:eastAsia="华文仿宋" w:cs="宋体"/>
                <w:color w:val="000000"/>
                <w:kern w:val="0"/>
                <w:sz w:val="24"/>
              </w:rPr>
            </w:pPr>
          </w:p>
        </w:tc>
        <w:tc>
          <w:tcPr>
            <w:tcW w:w="786" w:type="dxa"/>
            <w:vMerge w:val="continue"/>
            <w:tcBorders>
              <w:top w:val="nil"/>
              <w:left w:val="single" w:color="auto" w:sz="4" w:space="0"/>
              <w:bottom w:val="single" w:color="auto" w:sz="4" w:space="0"/>
              <w:right w:val="single" w:color="auto" w:sz="4" w:space="0"/>
            </w:tcBorders>
            <w:vAlign w:val="center"/>
          </w:tcPr>
          <w:p w14:paraId="6EC19242">
            <w:pPr>
              <w:widowControl/>
              <w:jc w:val="left"/>
              <w:rPr>
                <w:rFonts w:ascii="华文仿宋" w:hAnsi="华文仿宋" w:eastAsia="华文仿宋" w:cs="宋体"/>
                <w:color w:val="000000"/>
                <w:kern w:val="0"/>
                <w:sz w:val="24"/>
              </w:rPr>
            </w:pPr>
          </w:p>
        </w:tc>
        <w:tc>
          <w:tcPr>
            <w:tcW w:w="915" w:type="dxa"/>
            <w:vMerge w:val="continue"/>
            <w:tcBorders>
              <w:top w:val="nil"/>
              <w:left w:val="single" w:color="auto" w:sz="4" w:space="0"/>
              <w:bottom w:val="single" w:color="auto" w:sz="4" w:space="0"/>
              <w:right w:val="single" w:color="auto" w:sz="4" w:space="0"/>
            </w:tcBorders>
            <w:vAlign w:val="center"/>
          </w:tcPr>
          <w:p w14:paraId="6E35C5FC">
            <w:pPr>
              <w:widowControl/>
              <w:jc w:val="left"/>
              <w:rPr>
                <w:rFonts w:ascii="华文仿宋" w:hAnsi="华文仿宋" w:eastAsia="华文仿宋" w:cs="宋体"/>
                <w:color w:val="000000"/>
                <w:kern w:val="0"/>
                <w:sz w:val="24"/>
              </w:rPr>
            </w:pPr>
          </w:p>
        </w:tc>
        <w:tc>
          <w:tcPr>
            <w:tcW w:w="1134" w:type="dxa"/>
            <w:vMerge w:val="restart"/>
            <w:tcBorders>
              <w:top w:val="nil"/>
              <w:left w:val="single" w:color="auto" w:sz="4" w:space="0"/>
              <w:bottom w:val="single" w:color="auto" w:sz="4" w:space="0"/>
              <w:right w:val="single" w:color="auto" w:sz="4" w:space="0"/>
            </w:tcBorders>
            <w:shd w:val="clear" w:color="auto" w:fill="auto"/>
            <w:vAlign w:val="center"/>
          </w:tcPr>
          <w:p w14:paraId="4CBBE4C1">
            <w:pPr>
              <w:widowControl/>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内部运输结构合理</w:t>
            </w:r>
          </w:p>
        </w:tc>
        <w:tc>
          <w:tcPr>
            <w:tcW w:w="1134" w:type="dxa"/>
            <w:vMerge w:val="restart"/>
            <w:tcBorders>
              <w:top w:val="nil"/>
              <w:left w:val="single" w:color="auto" w:sz="4" w:space="0"/>
              <w:bottom w:val="single" w:color="auto" w:sz="4" w:space="0"/>
              <w:right w:val="single" w:color="auto" w:sz="4" w:space="0"/>
            </w:tcBorders>
            <w:shd w:val="clear" w:color="auto" w:fill="auto"/>
            <w:noWrap/>
            <w:vAlign w:val="center"/>
          </w:tcPr>
          <w:p w14:paraId="7CCB3EFF">
            <w:pPr>
              <w:widowControl/>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0.55</w:t>
            </w:r>
          </w:p>
        </w:tc>
        <w:tc>
          <w:tcPr>
            <w:tcW w:w="1701" w:type="dxa"/>
            <w:tcBorders>
              <w:top w:val="nil"/>
              <w:left w:val="nil"/>
              <w:bottom w:val="single" w:color="auto" w:sz="4" w:space="0"/>
              <w:right w:val="single" w:color="auto" w:sz="4" w:space="0"/>
            </w:tcBorders>
            <w:shd w:val="clear" w:color="auto" w:fill="auto"/>
            <w:noWrap/>
            <w:vAlign w:val="center"/>
          </w:tcPr>
          <w:p w14:paraId="33F24E1F">
            <w:pPr>
              <w:widowControl/>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客运平均运距</w:t>
            </w:r>
          </w:p>
        </w:tc>
        <w:tc>
          <w:tcPr>
            <w:tcW w:w="850" w:type="dxa"/>
            <w:tcBorders>
              <w:top w:val="nil"/>
              <w:left w:val="nil"/>
              <w:bottom w:val="single" w:color="auto" w:sz="4" w:space="0"/>
              <w:right w:val="single" w:color="auto" w:sz="4" w:space="0"/>
            </w:tcBorders>
            <w:shd w:val="clear" w:color="auto" w:fill="auto"/>
            <w:noWrap/>
            <w:vAlign w:val="center"/>
          </w:tcPr>
          <w:p w14:paraId="33641EB3">
            <w:pPr>
              <w:widowControl/>
              <w:jc w:val="right"/>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0.5</w:t>
            </w:r>
          </w:p>
        </w:tc>
        <w:tc>
          <w:tcPr>
            <w:tcW w:w="788" w:type="dxa"/>
            <w:tcBorders>
              <w:top w:val="nil"/>
              <w:left w:val="nil"/>
              <w:bottom w:val="single" w:color="auto" w:sz="4" w:space="0"/>
              <w:right w:val="single" w:color="auto" w:sz="4" w:space="0"/>
            </w:tcBorders>
            <w:shd w:val="clear" w:color="auto" w:fill="auto"/>
            <w:noWrap/>
            <w:vAlign w:val="center"/>
          </w:tcPr>
          <w:p w14:paraId="1E10DA10">
            <w:pPr>
              <w:widowControl/>
              <w:jc w:val="right"/>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8.302</w:t>
            </w:r>
          </w:p>
        </w:tc>
      </w:tr>
      <w:tr w14:paraId="378CBD91">
        <w:tblPrEx>
          <w:tblCellMar>
            <w:top w:w="0" w:type="dxa"/>
            <w:left w:w="108" w:type="dxa"/>
            <w:bottom w:w="0" w:type="dxa"/>
            <w:right w:w="108" w:type="dxa"/>
          </w:tblCellMar>
        </w:tblPrEx>
        <w:trPr>
          <w:trHeight w:val="552" w:hRule="atLeast"/>
          <w:jc w:val="center"/>
        </w:trPr>
        <w:tc>
          <w:tcPr>
            <w:tcW w:w="988" w:type="dxa"/>
            <w:vMerge w:val="continue"/>
            <w:tcBorders>
              <w:top w:val="nil"/>
              <w:left w:val="single" w:color="auto" w:sz="4" w:space="0"/>
              <w:bottom w:val="single" w:color="auto" w:sz="4" w:space="0"/>
              <w:right w:val="single" w:color="auto" w:sz="4" w:space="0"/>
            </w:tcBorders>
            <w:vAlign w:val="center"/>
          </w:tcPr>
          <w:p w14:paraId="1549E190">
            <w:pPr>
              <w:widowControl/>
              <w:jc w:val="left"/>
              <w:rPr>
                <w:rFonts w:ascii="华文仿宋" w:hAnsi="华文仿宋" w:eastAsia="华文仿宋" w:cs="宋体"/>
                <w:color w:val="000000"/>
                <w:kern w:val="0"/>
                <w:sz w:val="24"/>
              </w:rPr>
            </w:pPr>
          </w:p>
        </w:tc>
        <w:tc>
          <w:tcPr>
            <w:tcW w:w="786" w:type="dxa"/>
            <w:vMerge w:val="continue"/>
            <w:tcBorders>
              <w:top w:val="nil"/>
              <w:left w:val="single" w:color="auto" w:sz="4" w:space="0"/>
              <w:bottom w:val="single" w:color="auto" w:sz="4" w:space="0"/>
              <w:right w:val="single" w:color="auto" w:sz="4" w:space="0"/>
            </w:tcBorders>
            <w:vAlign w:val="center"/>
          </w:tcPr>
          <w:p w14:paraId="677C16E5">
            <w:pPr>
              <w:widowControl/>
              <w:jc w:val="left"/>
              <w:rPr>
                <w:rFonts w:ascii="华文仿宋" w:hAnsi="华文仿宋" w:eastAsia="华文仿宋" w:cs="宋体"/>
                <w:color w:val="000000"/>
                <w:kern w:val="0"/>
                <w:sz w:val="24"/>
              </w:rPr>
            </w:pPr>
          </w:p>
        </w:tc>
        <w:tc>
          <w:tcPr>
            <w:tcW w:w="915" w:type="dxa"/>
            <w:vMerge w:val="continue"/>
            <w:tcBorders>
              <w:top w:val="nil"/>
              <w:left w:val="single" w:color="auto" w:sz="4" w:space="0"/>
              <w:bottom w:val="single" w:color="auto" w:sz="4" w:space="0"/>
              <w:right w:val="single" w:color="auto" w:sz="4" w:space="0"/>
            </w:tcBorders>
            <w:vAlign w:val="center"/>
          </w:tcPr>
          <w:p w14:paraId="44AA1F5F">
            <w:pPr>
              <w:widowControl/>
              <w:jc w:val="left"/>
              <w:rPr>
                <w:rFonts w:ascii="华文仿宋" w:hAnsi="华文仿宋" w:eastAsia="华文仿宋" w:cs="宋体"/>
                <w:color w:val="000000"/>
                <w:kern w:val="0"/>
                <w:sz w:val="24"/>
              </w:rPr>
            </w:pPr>
          </w:p>
        </w:tc>
        <w:tc>
          <w:tcPr>
            <w:tcW w:w="1134" w:type="dxa"/>
            <w:vMerge w:val="continue"/>
            <w:tcBorders>
              <w:top w:val="nil"/>
              <w:left w:val="single" w:color="auto" w:sz="4" w:space="0"/>
              <w:bottom w:val="single" w:color="auto" w:sz="4" w:space="0"/>
              <w:right w:val="single" w:color="auto" w:sz="4" w:space="0"/>
            </w:tcBorders>
            <w:vAlign w:val="center"/>
          </w:tcPr>
          <w:p w14:paraId="703105CD">
            <w:pPr>
              <w:widowControl/>
              <w:jc w:val="left"/>
              <w:rPr>
                <w:rFonts w:ascii="华文仿宋" w:hAnsi="华文仿宋" w:eastAsia="华文仿宋" w:cs="宋体"/>
                <w:color w:val="000000"/>
                <w:kern w:val="0"/>
                <w:sz w:val="24"/>
              </w:rPr>
            </w:pPr>
          </w:p>
        </w:tc>
        <w:tc>
          <w:tcPr>
            <w:tcW w:w="1134" w:type="dxa"/>
            <w:vMerge w:val="continue"/>
            <w:tcBorders>
              <w:top w:val="nil"/>
              <w:left w:val="single" w:color="auto" w:sz="4" w:space="0"/>
              <w:bottom w:val="single" w:color="auto" w:sz="4" w:space="0"/>
              <w:right w:val="single" w:color="auto" w:sz="4" w:space="0"/>
            </w:tcBorders>
            <w:vAlign w:val="center"/>
          </w:tcPr>
          <w:p w14:paraId="7D8BC518">
            <w:pPr>
              <w:widowControl/>
              <w:jc w:val="left"/>
              <w:rPr>
                <w:rFonts w:ascii="华文仿宋" w:hAnsi="华文仿宋" w:eastAsia="华文仿宋" w:cs="宋体"/>
                <w:color w:val="000000"/>
                <w:kern w:val="0"/>
                <w:sz w:val="24"/>
              </w:rPr>
            </w:pPr>
          </w:p>
        </w:tc>
        <w:tc>
          <w:tcPr>
            <w:tcW w:w="1701" w:type="dxa"/>
            <w:tcBorders>
              <w:top w:val="nil"/>
              <w:left w:val="nil"/>
              <w:bottom w:val="single" w:color="auto" w:sz="4" w:space="0"/>
              <w:right w:val="single" w:color="auto" w:sz="4" w:space="0"/>
            </w:tcBorders>
            <w:shd w:val="clear" w:color="auto" w:fill="auto"/>
            <w:noWrap/>
            <w:vAlign w:val="center"/>
          </w:tcPr>
          <w:p w14:paraId="01D32B47">
            <w:pPr>
              <w:widowControl/>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货运平均运距</w:t>
            </w:r>
          </w:p>
        </w:tc>
        <w:tc>
          <w:tcPr>
            <w:tcW w:w="850" w:type="dxa"/>
            <w:tcBorders>
              <w:top w:val="nil"/>
              <w:left w:val="nil"/>
              <w:bottom w:val="single" w:color="auto" w:sz="4" w:space="0"/>
              <w:right w:val="single" w:color="auto" w:sz="4" w:space="0"/>
            </w:tcBorders>
            <w:shd w:val="clear" w:color="auto" w:fill="auto"/>
            <w:noWrap/>
            <w:vAlign w:val="center"/>
          </w:tcPr>
          <w:p w14:paraId="5EFFB8C5">
            <w:pPr>
              <w:widowControl/>
              <w:jc w:val="right"/>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0.5</w:t>
            </w:r>
          </w:p>
        </w:tc>
        <w:tc>
          <w:tcPr>
            <w:tcW w:w="788" w:type="dxa"/>
            <w:tcBorders>
              <w:top w:val="nil"/>
              <w:left w:val="nil"/>
              <w:bottom w:val="single" w:color="auto" w:sz="4" w:space="0"/>
              <w:right w:val="single" w:color="auto" w:sz="4" w:space="0"/>
            </w:tcBorders>
            <w:shd w:val="clear" w:color="auto" w:fill="auto"/>
            <w:noWrap/>
            <w:vAlign w:val="center"/>
          </w:tcPr>
          <w:p w14:paraId="14314CC7">
            <w:pPr>
              <w:widowControl/>
              <w:jc w:val="right"/>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11.5</w:t>
            </w:r>
          </w:p>
        </w:tc>
      </w:tr>
      <w:tr w14:paraId="48251C7C">
        <w:tblPrEx>
          <w:tblCellMar>
            <w:top w:w="0" w:type="dxa"/>
            <w:left w:w="108" w:type="dxa"/>
            <w:bottom w:w="0" w:type="dxa"/>
            <w:right w:w="108" w:type="dxa"/>
          </w:tblCellMar>
        </w:tblPrEx>
        <w:trPr>
          <w:trHeight w:val="1068" w:hRule="atLeast"/>
          <w:jc w:val="center"/>
        </w:trPr>
        <w:tc>
          <w:tcPr>
            <w:tcW w:w="988" w:type="dxa"/>
            <w:vMerge w:val="continue"/>
            <w:tcBorders>
              <w:top w:val="nil"/>
              <w:left w:val="single" w:color="auto" w:sz="4" w:space="0"/>
              <w:bottom w:val="single" w:color="auto" w:sz="4" w:space="0"/>
              <w:right w:val="single" w:color="auto" w:sz="4" w:space="0"/>
            </w:tcBorders>
            <w:vAlign w:val="center"/>
          </w:tcPr>
          <w:p w14:paraId="058F8A11">
            <w:pPr>
              <w:widowControl/>
              <w:jc w:val="left"/>
              <w:rPr>
                <w:rFonts w:ascii="华文仿宋" w:hAnsi="华文仿宋" w:eastAsia="华文仿宋" w:cs="宋体"/>
                <w:color w:val="000000"/>
                <w:kern w:val="0"/>
                <w:sz w:val="24"/>
              </w:rPr>
            </w:pPr>
          </w:p>
        </w:tc>
        <w:tc>
          <w:tcPr>
            <w:tcW w:w="786" w:type="dxa"/>
            <w:vMerge w:val="restart"/>
            <w:tcBorders>
              <w:top w:val="nil"/>
              <w:left w:val="single" w:color="auto" w:sz="4" w:space="0"/>
              <w:bottom w:val="single" w:color="auto" w:sz="4" w:space="0"/>
              <w:right w:val="single" w:color="auto" w:sz="4" w:space="0"/>
            </w:tcBorders>
            <w:shd w:val="clear" w:color="auto" w:fill="auto"/>
            <w:vAlign w:val="center"/>
          </w:tcPr>
          <w:p w14:paraId="1B9C9432">
            <w:pPr>
              <w:widowControl/>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服务水平</w:t>
            </w:r>
          </w:p>
        </w:tc>
        <w:tc>
          <w:tcPr>
            <w:tcW w:w="915" w:type="dxa"/>
            <w:vMerge w:val="restart"/>
            <w:tcBorders>
              <w:top w:val="nil"/>
              <w:left w:val="single" w:color="auto" w:sz="4" w:space="0"/>
              <w:bottom w:val="single" w:color="auto" w:sz="4" w:space="0"/>
              <w:right w:val="single" w:color="auto" w:sz="4" w:space="0"/>
            </w:tcBorders>
            <w:shd w:val="clear" w:color="auto" w:fill="auto"/>
            <w:vAlign w:val="center"/>
          </w:tcPr>
          <w:p w14:paraId="7DBD554F">
            <w:pPr>
              <w:widowControl/>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0.1667</w:t>
            </w:r>
          </w:p>
        </w:tc>
        <w:tc>
          <w:tcPr>
            <w:tcW w:w="1134" w:type="dxa"/>
            <w:tcBorders>
              <w:top w:val="nil"/>
              <w:left w:val="nil"/>
              <w:bottom w:val="single" w:color="auto" w:sz="4" w:space="0"/>
              <w:right w:val="single" w:color="auto" w:sz="4" w:space="0"/>
            </w:tcBorders>
            <w:shd w:val="clear" w:color="auto" w:fill="auto"/>
            <w:vAlign w:val="center"/>
          </w:tcPr>
          <w:p w14:paraId="2CFCE4FC">
            <w:pPr>
              <w:widowControl/>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运网服务水平</w:t>
            </w:r>
          </w:p>
        </w:tc>
        <w:tc>
          <w:tcPr>
            <w:tcW w:w="1134" w:type="dxa"/>
            <w:tcBorders>
              <w:top w:val="nil"/>
              <w:left w:val="nil"/>
              <w:bottom w:val="single" w:color="auto" w:sz="4" w:space="0"/>
              <w:right w:val="single" w:color="auto" w:sz="4" w:space="0"/>
            </w:tcBorders>
            <w:shd w:val="clear" w:color="auto" w:fill="auto"/>
            <w:noWrap/>
            <w:vAlign w:val="center"/>
          </w:tcPr>
          <w:p w14:paraId="102C1D3E">
            <w:pPr>
              <w:widowControl/>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0.35</w:t>
            </w:r>
          </w:p>
        </w:tc>
        <w:tc>
          <w:tcPr>
            <w:tcW w:w="1701" w:type="dxa"/>
            <w:tcBorders>
              <w:top w:val="nil"/>
              <w:left w:val="nil"/>
              <w:bottom w:val="single" w:color="auto" w:sz="4" w:space="0"/>
              <w:right w:val="single" w:color="auto" w:sz="4" w:space="0"/>
            </w:tcBorders>
            <w:shd w:val="clear" w:color="auto" w:fill="auto"/>
            <w:noWrap/>
            <w:vAlign w:val="center"/>
          </w:tcPr>
          <w:p w14:paraId="6C345BA8">
            <w:pPr>
              <w:widowControl/>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运网连通度</w:t>
            </w:r>
          </w:p>
        </w:tc>
        <w:tc>
          <w:tcPr>
            <w:tcW w:w="850" w:type="dxa"/>
            <w:tcBorders>
              <w:top w:val="nil"/>
              <w:left w:val="nil"/>
              <w:bottom w:val="single" w:color="auto" w:sz="4" w:space="0"/>
              <w:right w:val="single" w:color="auto" w:sz="4" w:space="0"/>
            </w:tcBorders>
            <w:shd w:val="clear" w:color="auto" w:fill="auto"/>
            <w:noWrap/>
            <w:vAlign w:val="center"/>
          </w:tcPr>
          <w:p w14:paraId="5FF507C2">
            <w:pPr>
              <w:widowControl/>
              <w:jc w:val="right"/>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1</w:t>
            </w:r>
          </w:p>
        </w:tc>
        <w:tc>
          <w:tcPr>
            <w:tcW w:w="788" w:type="dxa"/>
            <w:tcBorders>
              <w:top w:val="nil"/>
              <w:left w:val="nil"/>
              <w:bottom w:val="single" w:color="auto" w:sz="4" w:space="0"/>
              <w:right w:val="single" w:color="auto" w:sz="4" w:space="0"/>
            </w:tcBorders>
            <w:shd w:val="clear" w:color="auto" w:fill="auto"/>
            <w:noWrap/>
            <w:vAlign w:val="center"/>
          </w:tcPr>
          <w:p w14:paraId="0DF370C9">
            <w:pPr>
              <w:widowControl/>
              <w:jc w:val="right"/>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3.017</w:t>
            </w:r>
          </w:p>
        </w:tc>
      </w:tr>
      <w:tr w14:paraId="68613C6F">
        <w:tblPrEx>
          <w:tblCellMar>
            <w:top w:w="0" w:type="dxa"/>
            <w:left w:w="108" w:type="dxa"/>
            <w:bottom w:w="0" w:type="dxa"/>
            <w:right w:w="108" w:type="dxa"/>
          </w:tblCellMar>
        </w:tblPrEx>
        <w:trPr>
          <w:trHeight w:val="552" w:hRule="atLeast"/>
          <w:jc w:val="center"/>
        </w:trPr>
        <w:tc>
          <w:tcPr>
            <w:tcW w:w="988" w:type="dxa"/>
            <w:vMerge w:val="continue"/>
            <w:tcBorders>
              <w:top w:val="nil"/>
              <w:left w:val="single" w:color="auto" w:sz="4" w:space="0"/>
              <w:bottom w:val="single" w:color="auto" w:sz="4" w:space="0"/>
              <w:right w:val="single" w:color="auto" w:sz="4" w:space="0"/>
            </w:tcBorders>
            <w:vAlign w:val="center"/>
          </w:tcPr>
          <w:p w14:paraId="13F9E367">
            <w:pPr>
              <w:widowControl/>
              <w:jc w:val="left"/>
              <w:rPr>
                <w:rFonts w:ascii="华文仿宋" w:hAnsi="华文仿宋" w:eastAsia="华文仿宋" w:cs="宋体"/>
                <w:color w:val="000000"/>
                <w:kern w:val="0"/>
                <w:sz w:val="24"/>
              </w:rPr>
            </w:pPr>
          </w:p>
        </w:tc>
        <w:tc>
          <w:tcPr>
            <w:tcW w:w="786" w:type="dxa"/>
            <w:vMerge w:val="continue"/>
            <w:tcBorders>
              <w:top w:val="nil"/>
              <w:left w:val="single" w:color="auto" w:sz="4" w:space="0"/>
              <w:bottom w:val="single" w:color="auto" w:sz="4" w:space="0"/>
              <w:right w:val="single" w:color="auto" w:sz="4" w:space="0"/>
            </w:tcBorders>
            <w:vAlign w:val="center"/>
          </w:tcPr>
          <w:p w14:paraId="2CCE96A7">
            <w:pPr>
              <w:widowControl/>
              <w:jc w:val="left"/>
              <w:rPr>
                <w:rFonts w:ascii="华文仿宋" w:hAnsi="华文仿宋" w:eastAsia="华文仿宋" w:cs="宋体"/>
                <w:color w:val="000000"/>
                <w:kern w:val="0"/>
                <w:sz w:val="24"/>
              </w:rPr>
            </w:pPr>
          </w:p>
        </w:tc>
        <w:tc>
          <w:tcPr>
            <w:tcW w:w="915" w:type="dxa"/>
            <w:vMerge w:val="continue"/>
            <w:tcBorders>
              <w:top w:val="nil"/>
              <w:left w:val="single" w:color="auto" w:sz="4" w:space="0"/>
              <w:bottom w:val="single" w:color="auto" w:sz="4" w:space="0"/>
              <w:right w:val="single" w:color="auto" w:sz="4" w:space="0"/>
            </w:tcBorders>
            <w:vAlign w:val="center"/>
          </w:tcPr>
          <w:p w14:paraId="6D3B6957">
            <w:pPr>
              <w:widowControl/>
              <w:jc w:val="left"/>
              <w:rPr>
                <w:rFonts w:ascii="华文仿宋" w:hAnsi="华文仿宋" w:eastAsia="华文仿宋" w:cs="宋体"/>
                <w:color w:val="000000"/>
                <w:kern w:val="0"/>
                <w:sz w:val="24"/>
              </w:rPr>
            </w:pPr>
          </w:p>
        </w:tc>
        <w:tc>
          <w:tcPr>
            <w:tcW w:w="1134" w:type="dxa"/>
            <w:vMerge w:val="restart"/>
            <w:tcBorders>
              <w:top w:val="nil"/>
              <w:left w:val="single" w:color="auto" w:sz="4" w:space="0"/>
              <w:bottom w:val="single" w:color="auto" w:sz="4" w:space="0"/>
              <w:right w:val="single" w:color="auto" w:sz="4" w:space="0"/>
            </w:tcBorders>
            <w:shd w:val="clear" w:color="auto" w:fill="auto"/>
            <w:vAlign w:val="center"/>
          </w:tcPr>
          <w:p w14:paraId="336F1608">
            <w:pPr>
              <w:widowControl/>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安全水平</w:t>
            </w:r>
          </w:p>
        </w:tc>
        <w:tc>
          <w:tcPr>
            <w:tcW w:w="1134" w:type="dxa"/>
            <w:vMerge w:val="restart"/>
            <w:tcBorders>
              <w:top w:val="nil"/>
              <w:left w:val="single" w:color="auto" w:sz="4" w:space="0"/>
              <w:bottom w:val="single" w:color="auto" w:sz="4" w:space="0"/>
              <w:right w:val="single" w:color="auto" w:sz="4" w:space="0"/>
            </w:tcBorders>
            <w:shd w:val="clear" w:color="auto" w:fill="auto"/>
            <w:noWrap/>
            <w:vAlign w:val="center"/>
          </w:tcPr>
          <w:p w14:paraId="3554D4C5">
            <w:pPr>
              <w:widowControl/>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0.65</w:t>
            </w:r>
          </w:p>
        </w:tc>
        <w:tc>
          <w:tcPr>
            <w:tcW w:w="1701" w:type="dxa"/>
            <w:tcBorders>
              <w:top w:val="nil"/>
              <w:left w:val="nil"/>
              <w:bottom w:val="single" w:color="auto" w:sz="4" w:space="0"/>
              <w:right w:val="single" w:color="auto" w:sz="4" w:space="0"/>
            </w:tcBorders>
            <w:shd w:val="clear" w:color="auto" w:fill="auto"/>
            <w:noWrap/>
            <w:vAlign w:val="center"/>
          </w:tcPr>
          <w:p w14:paraId="14ED2C85">
            <w:pPr>
              <w:widowControl/>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万车事故率</w:t>
            </w:r>
          </w:p>
        </w:tc>
        <w:tc>
          <w:tcPr>
            <w:tcW w:w="850" w:type="dxa"/>
            <w:tcBorders>
              <w:top w:val="nil"/>
              <w:left w:val="nil"/>
              <w:bottom w:val="single" w:color="auto" w:sz="4" w:space="0"/>
              <w:right w:val="single" w:color="auto" w:sz="4" w:space="0"/>
            </w:tcBorders>
            <w:shd w:val="clear" w:color="auto" w:fill="auto"/>
            <w:noWrap/>
            <w:vAlign w:val="center"/>
          </w:tcPr>
          <w:p w14:paraId="5BD2DD9C">
            <w:pPr>
              <w:widowControl/>
              <w:jc w:val="right"/>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0.5</w:t>
            </w:r>
          </w:p>
        </w:tc>
        <w:tc>
          <w:tcPr>
            <w:tcW w:w="788" w:type="dxa"/>
            <w:tcBorders>
              <w:top w:val="nil"/>
              <w:left w:val="nil"/>
              <w:bottom w:val="single" w:color="auto" w:sz="4" w:space="0"/>
              <w:right w:val="single" w:color="auto" w:sz="4" w:space="0"/>
            </w:tcBorders>
            <w:shd w:val="clear" w:color="auto" w:fill="auto"/>
            <w:noWrap/>
            <w:vAlign w:val="center"/>
          </w:tcPr>
          <w:p w14:paraId="60ECD306">
            <w:pPr>
              <w:widowControl/>
              <w:jc w:val="right"/>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6.531</w:t>
            </w:r>
          </w:p>
        </w:tc>
      </w:tr>
      <w:tr w14:paraId="6CDBCF9B">
        <w:tblPrEx>
          <w:tblCellMar>
            <w:top w:w="0" w:type="dxa"/>
            <w:left w:w="108" w:type="dxa"/>
            <w:bottom w:w="0" w:type="dxa"/>
            <w:right w:w="108" w:type="dxa"/>
          </w:tblCellMar>
        </w:tblPrEx>
        <w:trPr>
          <w:trHeight w:val="315" w:hRule="atLeast"/>
          <w:jc w:val="center"/>
        </w:trPr>
        <w:tc>
          <w:tcPr>
            <w:tcW w:w="988" w:type="dxa"/>
            <w:vMerge w:val="continue"/>
            <w:tcBorders>
              <w:top w:val="nil"/>
              <w:left w:val="single" w:color="auto" w:sz="4" w:space="0"/>
              <w:bottom w:val="single" w:color="auto" w:sz="4" w:space="0"/>
              <w:right w:val="single" w:color="auto" w:sz="4" w:space="0"/>
            </w:tcBorders>
            <w:vAlign w:val="center"/>
          </w:tcPr>
          <w:p w14:paraId="31682FBD">
            <w:pPr>
              <w:widowControl/>
              <w:jc w:val="left"/>
              <w:rPr>
                <w:rFonts w:ascii="华文仿宋" w:hAnsi="华文仿宋" w:eastAsia="华文仿宋" w:cs="宋体"/>
                <w:color w:val="000000"/>
                <w:kern w:val="0"/>
                <w:sz w:val="24"/>
              </w:rPr>
            </w:pPr>
          </w:p>
        </w:tc>
        <w:tc>
          <w:tcPr>
            <w:tcW w:w="786" w:type="dxa"/>
            <w:vMerge w:val="continue"/>
            <w:tcBorders>
              <w:top w:val="nil"/>
              <w:left w:val="single" w:color="auto" w:sz="4" w:space="0"/>
              <w:bottom w:val="single" w:color="auto" w:sz="4" w:space="0"/>
              <w:right w:val="single" w:color="auto" w:sz="4" w:space="0"/>
            </w:tcBorders>
            <w:vAlign w:val="center"/>
          </w:tcPr>
          <w:p w14:paraId="33BE7DFF">
            <w:pPr>
              <w:widowControl/>
              <w:jc w:val="left"/>
              <w:rPr>
                <w:rFonts w:ascii="华文仿宋" w:hAnsi="华文仿宋" w:eastAsia="华文仿宋" w:cs="宋体"/>
                <w:color w:val="000000"/>
                <w:kern w:val="0"/>
                <w:sz w:val="24"/>
              </w:rPr>
            </w:pPr>
          </w:p>
        </w:tc>
        <w:tc>
          <w:tcPr>
            <w:tcW w:w="915" w:type="dxa"/>
            <w:vMerge w:val="continue"/>
            <w:tcBorders>
              <w:top w:val="nil"/>
              <w:left w:val="single" w:color="auto" w:sz="4" w:space="0"/>
              <w:bottom w:val="single" w:color="auto" w:sz="4" w:space="0"/>
              <w:right w:val="single" w:color="auto" w:sz="4" w:space="0"/>
            </w:tcBorders>
            <w:vAlign w:val="center"/>
          </w:tcPr>
          <w:p w14:paraId="49A208EA">
            <w:pPr>
              <w:widowControl/>
              <w:jc w:val="left"/>
              <w:rPr>
                <w:rFonts w:ascii="华文仿宋" w:hAnsi="华文仿宋" w:eastAsia="华文仿宋" w:cs="宋体"/>
                <w:color w:val="000000"/>
                <w:kern w:val="0"/>
                <w:sz w:val="24"/>
              </w:rPr>
            </w:pPr>
          </w:p>
        </w:tc>
        <w:tc>
          <w:tcPr>
            <w:tcW w:w="1134" w:type="dxa"/>
            <w:vMerge w:val="continue"/>
            <w:tcBorders>
              <w:top w:val="nil"/>
              <w:left w:val="single" w:color="auto" w:sz="4" w:space="0"/>
              <w:bottom w:val="single" w:color="auto" w:sz="4" w:space="0"/>
              <w:right w:val="single" w:color="auto" w:sz="4" w:space="0"/>
            </w:tcBorders>
            <w:vAlign w:val="center"/>
          </w:tcPr>
          <w:p w14:paraId="2ADE09A7">
            <w:pPr>
              <w:widowControl/>
              <w:jc w:val="left"/>
              <w:rPr>
                <w:rFonts w:ascii="华文仿宋" w:hAnsi="华文仿宋" w:eastAsia="华文仿宋" w:cs="宋体"/>
                <w:color w:val="000000"/>
                <w:kern w:val="0"/>
                <w:sz w:val="24"/>
              </w:rPr>
            </w:pPr>
          </w:p>
        </w:tc>
        <w:tc>
          <w:tcPr>
            <w:tcW w:w="1134" w:type="dxa"/>
            <w:vMerge w:val="continue"/>
            <w:tcBorders>
              <w:top w:val="nil"/>
              <w:left w:val="single" w:color="auto" w:sz="4" w:space="0"/>
              <w:bottom w:val="single" w:color="auto" w:sz="4" w:space="0"/>
              <w:right w:val="single" w:color="auto" w:sz="4" w:space="0"/>
            </w:tcBorders>
            <w:vAlign w:val="center"/>
          </w:tcPr>
          <w:p w14:paraId="72FDC10E">
            <w:pPr>
              <w:widowControl/>
              <w:jc w:val="left"/>
              <w:rPr>
                <w:rFonts w:ascii="华文仿宋" w:hAnsi="华文仿宋" w:eastAsia="华文仿宋" w:cs="宋体"/>
                <w:color w:val="000000"/>
                <w:kern w:val="0"/>
                <w:sz w:val="24"/>
              </w:rPr>
            </w:pPr>
          </w:p>
        </w:tc>
        <w:tc>
          <w:tcPr>
            <w:tcW w:w="1701" w:type="dxa"/>
            <w:tcBorders>
              <w:top w:val="nil"/>
              <w:left w:val="nil"/>
              <w:bottom w:val="single" w:color="auto" w:sz="4" w:space="0"/>
              <w:right w:val="single" w:color="auto" w:sz="4" w:space="0"/>
            </w:tcBorders>
            <w:shd w:val="clear" w:color="auto" w:fill="auto"/>
            <w:noWrap/>
            <w:vAlign w:val="center"/>
          </w:tcPr>
          <w:p w14:paraId="6B3204E0">
            <w:pPr>
              <w:widowControl/>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万车死亡率</w:t>
            </w:r>
          </w:p>
        </w:tc>
        <w:tc>
          <w:tcPr>
            <w:tcW w:w="850" w:type="dxa"/>
            <w:tcBorders>
              <w:top w:val="nil"/>
              <w:left w:val="nil"/>
              <w:bottom w:val="single" w:color="auto" w:sz="4" w:space="0"/>
              <w:right w:val="single" w:color="auto" w:sz="4" w:space="0"/>
            </w:tcBorders>
            <w:shd w:val="clear" w:color="auto" w:fill="auto"/>
            <w:noWrap/>
            <w:vAlign w:val="center"/>
          </w:tcPr>
          <w:p w14:paraId="2E79068A">
            <w:pPr>
              <w:widowControl/>
              <w:jc w:val="right"/>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0.5</w:t>
            </w:r>
          </w:p>
        </w:tc>
        <w:tc>
          <w:tcPr>
            <w:tcW w:w="788" w:type="dxa"/>
            <w:tcBorders>
              <w:top w:val="nil"/>
              <w:left w:val="nil"/>
              <w:bottom w:val="single" w:color="auto" w:sz="4" w:space="0"/>
              <w:right w:val="single" w:color="auto" w:sz="4" w:space="0"/>
            </w:tcBorders>
            <w:shd w:val="clear" w:color="auto" w:fill="auto"/>
            <w:noWrap/>
            <w:vAlign w:val="center"/>
          </w:tcPr>
          <w:p w14:paraId="3D4F8E23">
            <w:pPr>
              <w:widowControl/>
              <w:jc w:val="right"/>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2.663</w:t>
            </w:r>
          </w:p>
        </w:tc>
      </w:tr>
    </w:tbl>
    <w:p w14:paraId="4A3971F8">
      <w:pPr>
        <w:spacing w:line="360" w:lineRule="auto"/>
        <w:jc w:val="left"/>
        <w:rPr>
          <w:rFonts w:ascii="华文仿宋" w:hAnsi="华文仿宋" w:eastAsia="华文仿宋"/>
          <w:sz w:val="28"/>
          <w:szCs w:val="28"/>
        </w:rPr>
      </w:pPr>
    </w:p>
    <w:p w14:paraId="7A8AB462">
      <w:pPr>
        <w:spacing w:line="360" w:lineRule="auto"/>
        <w:jc w:val="left"/>
        <w:rPr>
          <w:rFonts w:ascii="华文仿宋" w:hAnsi="华文仿宋" w:eastAsia="华文仿宋"/>
          <w:sz w:val="28"/>
          <w:szCs w:val="28"/>
        </w:rPr>
      </w:pPr>
      <w:r>
        <w:rPr>
          <w:rFonts w:hint="eastAsia" w:ascii="华文仿宋" w:hAnsi="华文仿宋" w:eastAsia="华文仿宋"/>
          <w:sz w:val="28"/>
          <w:szCs w:val="28"/>
        </w:rPr>
        <w:t>（三）多级可拓评价方法</w:t>
      </w:r>
    </w:p>
    <w:p w14:paraId="7CF59D5B">
      <w:pPr>
        <w:pStyle w:val="15"/>
        <w:numPr>
          <w:ilvl w:val="0"/>
          <w:numId w:val="11"/>
        </w:numPr>
        <w:spacing w:line="360" w:lineRule="auto"/>
        <w:ind w:firstLineChars="0"/>
        <w:jc w:val="left"/>
        <w:rPr>
          <w:rFonts w:ascii="华文仿宋" w:hAnsi="华文仿宋" w:eastAsia="华文仿宋"/>
          <w:sz w:val="28"/>
          <w:szCs w:val="28"/>
        </w:rPr>
      </w:pPr>
      <w:r>
        <w:rPr>
          <w:rFonts w:hint="eastAsia" w:ascii="华文仿宋" w:hAnsi="华文仿宋" w:eastAsia="华文仿宋"/>
          <w:sz w:val="28"/>
          <w:szCs w:val="28"/>
        </w:rPr>
        <w:t>确定适应性等级域</w:t>
      </w:r>
      <w:r>
        <w:rPr>
          <w:rFonts w:ascii="华文仿宋" w:hAnsi="华文仿宋" w:eastAsia="华文仿宋"/>
          <w:position w:val="-6"/>
          <w:sz w:val="28"/>
          <w:szCs w:val="28"/>
        </w:rPr>
        <w:object>
          <v:shape id="_x0000_i1085" o:spt="75" type="#_x0000_t75" style="height:14.25pt;width:13.5pt;" o:ole="t" filled="f" o:preferrelative="t" stroked="f" coordsize="21600,21600">
            <v:path/>
            <v:fill on="f" focussize="0,0"/>
            <v:stroke on="f" joinstyle="miter"/>
            <v:imagedata r:id="rId115" o:title=""/>
            <o:lock v:ext="edit" aspectratio="t"/>
            <w10:wrap type="none"/>
            <w10:anchorlock/>
          </v:shape>
          <o:OLEObject Type="Embed" ProgID="Equation.DSMT4" ShapeID="_x0000_i1085" DrawAspect="Content" ObjectID="_1468075785" r:id="rId114">
            <o:LockedField>false</o:LockedField>
          </o:OLEObject>
        </w:object>
      </w:r>
      <w:r>
        <w:rPr>
          <w:rFonts w:hint="eastAsia" w:ascii="华文仿宋" w:hAnsi="华文仿宋" w:eastAsia="华文仿宋"/>
          <w:sz w:val="28"/>
          <w:szCs w:val="28"/>
        </w:rPr>
        <w:t>以及评价因素集</w:t>
      </w:r>
      <w:r>
        <w:rPr>
          <w:rFonts w:ascii="华文仿宋" w:hAnsi="华文仿宋" w:eastAsia="华文仿宋"/>
          <w:position w:val="-6"/>
          <w:sz w:val="28"/>
          <w:szCs w:val="28"/>
        </w:rPr>
        <w:object>
          <v:shape id="_x0000_i1086" o:spt="75" type="#_x0000_t75" style="height:14.25pt;width:12pt;" o:ole="t" filled="f" o:preferrelative="t" stroked="f" coordsize="21600,21600">
            <v:path/>
            <v:fill on="f" focussize="0,0"/>
            <v:stroke on="f" joinstyle="miter"/>
            <v:imagedata r:id="rId117" o:title=""/>
            <o:lock v:ext="edit" aspectratio="t"/>
            <w10:wrap type="none"/>
            <w10:anchorlock/>
          </v:shape>
          <o:OLEObject Type="Embed" ProgID="Equation.DSMT4" ShapeID="_x0000_i1086" DrawAspect="Content" ObjectID="_1468075786" r:id="rId116">
            <o:LockedField>false</o:LockedField>
          </o:OLEObject>
        </w:object>
      </w:r>
    </w:p>
    <w:p w14:paraId="0BB2B122">
      <w:pPr>
        <w:spacing w:line="360" w:lineRule="auto"/>
        <w:ind w:firstLine="480"/>
        <w:rPr>
          <w:rFonts w:ascii="华文仿宋" w:hAnsi="华文仿宋" w:eastAsia="华文仿宋"/>
          <w:sz w:val="28"/>
          <w:szCs w:val="28"/>
        </w:rPr>
      </w:pPr>
      <w:r>
        <w:rPr>
          <w:rFonts w:hint="eastAsia" w:ascii="华文仿宋" w:hAnsi="华文仿宋" w:eastAsia="华文仿宋"/>
          <w:sz w:val="28"/>
          <w:szCs w:val="28"/>
        </w:rPr>
        <w:t>设定适应性等级域名</w:t>
      </w:r>
      <w:r>
        <w:rPr>
          <w:rFonts w:ascii="华文仿宋" w:hAnsi="华文仿宋" w:eastAsia="华文仿宋"/>
          <w:position w:val="-16"/>
          <w:sz w:val="28"/>
          <w:szCs w:val="28"/>
        </w:rPr>
        <w:object>
          <v:shape id="_x0000_i1087" o:spt="75" type="#_x0000_t75" style="height:22.5pt;width:112.5pt;" o:ole="t" filled="f" o:preferrelative="t" stroked="f" coordsize="21600,21600">
            <v:path/>
            <v:fill on="f" focussize="0,0"/>
            <v:stroke on="f" joinstyle="miter"/>
            <v:imagedata r:id="rId119" o:title=""/>
            <o:lock v:ext="edit" aspectratio="t"/>
            <w10:wrap type="none"/>
            <w10:anchorlock/>
          </v:shape>
          <o:OLEObject Type="Embed" ProgID="Equation.DSMT4" ShapeID="_x0000_i1087" DrawAspect="Content" ObjectID="_1468075787" r:id="rId118">
            <o:LockedField>false</o:LockedField>
          </o:OLEObject>
        </w:object>
      </w:r>
      <w:r>
        <w:rPr>
          <w:rFonts w:hint="eastAsia" w:ascii="华文仿宋" w:hAnsi="华文仿宋" w:eastAsia="华文仿宋"/>
          <w:sz w:val="28"/>
          <w:szCs w:val="28"/>
        </w:rPr>
        <w:t>；1级指标评价因素集为</w:t>
      </w:r>
      <w:r>
        <w:rPr>
          <w:rFonts w:ascii="华文仿宋" w:hAnsi="华文仿宋" w:eastAsia="华文仿宋"/>
          <w:position w:val="-12"/>
          <w:sz w:val="28"/>
          <w:szCs w:val="28"/>
        </w:rPr>
        <w:object>
          <v:shape id="_x0000_i1088" o:spt="75" type="#_x0000_t75" style="height:18pt;width:104.25pt;" o:ole="t" filled="f" o:preferrelative="t" stroked="f" coordsize="21600,21600">
            <v:path/>
            <v:fill on="f" focussize="0,0"/>
            <v:stroke on="f" joinstyle="miter"/>
            <v:imagedata r:id="rId121" o:title=""/>
            <o:lock v:ext="edit" aspectratio="t"/>
            <w10:wrap type="none"/>
            <w10:anchorlock/>
          </v:shape>
          <o:OLEObject Type="Embed" ProgID="Equation.DSMT4" ShapeID="_x0000_i1088" DrawAspect="Content" ObjectID="_1468075788" r:id="rId120">
            <o:LockedField>false</o:LockedField>
          </o:OLEObject>
        </w:object>
      </w:r>
      <w:r>
        <w:rPr>
          <w:rFonts w:hint="eastAsia" w:ascii="华文仿宋" w:hAnsi="华文仿宋" w:eastAsia="华文仿宋"/>
          <w:sz w:val="28"/>
          <w:szCs w:val="28"/>
        </w:rPr>
        <w:t>。</w:t>
      </w:r>
    </w:p>
    <w:p w14:paraId="62C54A12">
      <w:pPr>
        <w:pStyle w:val="15"/>
        <w:numPr>
          <w:ilvl w:val="0"/>
          <w:numId w:val="11"/>
        </w:numPr>
        <w:spacing w:line="360" w:lineRule="auto"/>
        <w:ind w:firstLineChars="0"/>
        <w:rPr>
          <w:rFonts w:ascii="华文仿宋" w:hAnsi="华文仿宋" w:eastAsia="华文仿宋"/>
          <w:sz w:val="28"/>
          <w:szCs w:val="28"/>
        </w:rPr>
      </w:pPr>
      <w:r>
        <w:rPr>
          <w:rFonts w:hint="eastAsia" w:ascii="华文仿宋" w:hAnsi="华文仿宋" w:eastAsia="华文仿宋"/>
          <w:sz w:val="28"/>
          <w:szCs w:val="28"/>
        </w:rPr>
        <w:t>确定经典域和节域</w:t>
      </w:r>
    </w:p>
    <w:p w14:paraId="296B6B1C">
      <w:pPr>
        <w:spacing w:line="360" w:lineRule="auto"/>
        <w:ind w:firstLine="480"/>
        <w:jc w:val="center"/>
        <w:rPr>
          <w:rFonts w:ascii="华文仿宋" w:hAnsi="华文仿宋" w:eastAsia="华文仿宋"/>
          <w:sz w:val="28"/>
          <w:szCs w:val="28"/>
        </w:rPr>
      </w:pPr>
      <w:r>
        <w:rPr>
          <w:rFonts w:hint="eastAsia" w:ascii="华文仿宋" w:hAnsi="华文仿宋" w:eastAsia="华文仿宋"/>
          <w:sz w:val="28"/>
          <w:szCs w:val="28"/>
        </w:rPr>
        <w:t>令</w:t>
      </w:r>
      <w:r>
        <w:rPr>
          <w:rFonts w:ascii="华文仿宋" w:hAnsi="华文仿宋" w:eastAsia="华文仿宋"/>
          <w:position w:val="-82"/>
          <w:sz w:val="28"/>
          <w:szCs w:val="28"/>
        </w:rPr>
        <w:object>
          <v:shape id="_x0000_i1089" o:spt="75" type="#_x0000_t75" style="height:88.5pt;width:190.5pt;" o:ole="t" filled="f" o:preferrelative="t" stroked="f" coordsize="21600,21600">
            <v:path/>
            <v:fill on="f" focussize="0,0"/>
            <v:stroke on="f" joinstyle="miter"/>
            <v:imagedata r:id="rId123" o:title=""/>
            <o:lock v:ext="edit" aspectratio="t"/>
            <w10:wrap type="none"/>
            <w10:anchorlock/>
          </v:shape>
          <o:OLEObject Type="Embed" ProgID="Equation.DSMT4" ShapeID="_x0000_i1089" DrawAspect="Content" ObjectID="_1468075789" r:id="rId122">
            <o:LockedField>false</o:LockedField>
          </o:OLEObject>
        </w:object>
      </w:r>
      <w:r>
        <w:rPr>
          <w:rFonts w:ascii="华文仿宋" w:hAnsi="华文仿宋" w:eastAsia="华文仿宋"/>
          <w:position w:val="-70"/>
          <w:sz w:val="28"/>
          <w:szCs w:val="28"/>
        </w:rPr>
        <w:object>
          <v:shape id="_x0000_i1090" o:spt="75" type="#_x0000_t75" style="height:76.5pt;width:187.5pt;" o:ole="t" filled="f" o:preferrelative="t" stroked="f" coordsize="21600,21600">
            <v:path/>
            <v:fill on="f" focussize="0,0"/>
            <v:stroke on="f" joinstyle="miter"/>
            <v:imagedata r:id="rId125" o:title=""/>
            <o:lock v:ext="edit" aspectratio="t"/>
            <w10:wrap type="none"/>
            <w10:anchorlock/>
          </v:shape>
          <o:OLEObject Type="Embed" ProgID="Equation.DSMT4" ShapeID="_x0000_i1090" DrawAspect="Content" ObjectID="_1468075790" r:id="rId124">
            <o:LockedField>false</o:LockedField>
          </o:OLEObject>
        </w:object>
      </w:r>
    </w:p>
    <w:p w14:paraId="420F1CFE">
      <w:pPr>
        <w:spacing w:line="360" w:lineRule="auto"/>
        <w:ind w:firstLine="480"/>
        <w:rPr>
          <w:rFonts w:ascii="华文仿宋" w:hAnsi="华文仿宋" w:eastAsia="华文仿宋"/>
          <w:sz w:val="28"/>
          <w:szCs w:val="28"/>
        </w:rPr>
      </w:pPr>
    </w:p>
    <w:p w14:paraId="0F849406">
      <w:pPr>
        <w:pStyle w:val="15"/>
        <w:numPr>
          <w:ilvl w:val="0"/>
          <w:numId w:val="11"/>
        </w:numPr>
        <w:spacing w:line="360" w:lineRule="auto"/>
        <w:ind w:firstLineChars="0"/>
        <w:rPr>
          <w:rFonts w:ascii="华文仿宋" w:hAnsi="华文仿宋" w:eastAsia="华文仿宋"/>
          <w:sz w:val="28"/>
          <w:szCs w:val="28"/>
        </w:rPr>
      </w:pPr>
      <w:r>
        <w:rPr>
          <w:rFonts w:hint="eastAsia" w:ascii="华文仿宋" w:hAnsi="华文仿宋" w:eastAsia="华文仿宋"/>
          <w:sz w:val="28"/>
          <w:szCs w:val="28"/>
        </w:rPr>
        <w:t>确定待评物元为</w:t>
      </w:r>
      <w:r>
        <w:rPr>
          <w:rFonts w:ascii="华文仿宋" w:hAnsi="华文仿宋" w:eastAsia="华文仿宋"/>
          <w:position w:val="-68"/>
          <w:sz w:val="28"/>
          <w:szCs w:val="28"/>
        </w:rPr>
        <w:object>
          <v:shape id="_x0000_i1091" o:spt="75" type="#_x0000_t75" style="height:73.5pt;width:94.5pt;" o:ole="t" filled="f" o:preferrelative="t" stroked="f" coordsize="21600,21600">
            <v:path/>
            <v:fill on="f" focussize="0,0"/>
            <v:stroke on="f" joinstyle="miter"/>
            <v:imagedata r:id="rId127" o:title=""/>
            <o:lock v:ext="edit" aspectratio="t"/>
            <w10:wrap type="none"/>
            <w10:anchorlock/>
          </v:shape>
          <o:OLEObject Type="Embed" ProgID="Equation.DSMT4" ShapeID="_x0000_i1091" DrawAspect="Content" ObjectID="_1468075791" r:id="rId126">
            <o:LockedField>false</o:LockedField>
          </o:OLEObject>
        </w:object>
      </w:r>
    </w:p>
    <w:p w14:paraId="48BE4452">
      <w:pPr>
        <w:pStyle w:val="15"/>
        <w:numPr>
          <w:ilvl w:val="0"/>
          <w:numId w:val="11"/>
        </w:numPr>
        <w:spacing w:line="360" w:lineRule="auto"/>
        <w:ind w:firstLineChars="0"/>
        <w:rPr>
          <w:rFonts w:ascii="华文仿宋" w:hAnsi="华文仿宋" w:eastAsia="华文仿宋"/>
          <w:sz w:val="28"/>
          <w:szCs w:val="28"/>
        </w:rPr>
      </w:pPr>
      <w:r>
        <w:rPr>
          <w:rFonts w:hint="eastAsia" w:ascii="华文仿宋" w:hAnsi="华文仿宋" w:eastAsia="华文仿宋"/>
          <w:sz w:val="28"/>
          <w:szCs w:val="28"/>
        </w:rPr>
        <w:t>建立关联函数，确定待评对象各指标属于各适应性等级的关联系数</w:t>
      </w:r>
    </w:p>
    <w:p w14:paraId="6FA3FB9D">
      <w:pPr>
        <w:pStyle w:val="15"/>
        <w:numPr>
          <w:ilvl w:val="0"/>
          <w:numId w:val="11"/>
        </w:numPr>
        <w:spacing w:line="360" w:lineRule="auto"/>
        <w:ind w:firstLineChars="0"/>
        <w:rPr>
          <w:rFonts w:ascii="华文仿宋" w:hAnsi="华文仿宋" w:eastAsia="华文仿宋"/>
          <w:sz w:val="28"/>
          <w:szCs w:val="28"/>
        </w:rPr>
      </w:pPr>
      <w:r>
        <w:rPr>
          <w:rFonts w:hint="eastAsia" w:ascii="华文仿宋" w:hAnsi="华文仿宋" w:eastAsia="华文仿宋"/>
          <w:sz w:val="28"/>
          <w:szCs w:val="28"/>
        </w:rPr>
        <w:t>一级评价</w:t>
      </w:r>
    </w:p>
    <w:p w14:paraId="6DB1377D">
      <w:pPr>
        <w:spacing w:line="360" w:lineRule="auto"/>
        <w:ind w:firstLine="480"/>
        <w:rPr>
          <w:rFonts w:ascii="华文仿宋" w:hAnsi="华文仿宋" w:eastAsia="华文仿宋"/>
          <w:sz w:val="28"/>
          <w:szCs w:val="28"/>
        </w:rPr>
      </w:pPr>
      <w:r>
        <w:rPr>
          <w:rFonts w:ascii="华文仿宋" w:hAnsi="华文仿宋" w:eastAsia="华文仿宋"/>
          <w:sz w:val="28"/>
          <w:szCs w:val="28"/>
        </w:rPr>
        <w:t>由2级指标的权重向量与2级指标针对各适应性等级的关联度矩阵相乘计算出各1级指标针对各适应性等级的关联度矩阵</w:t>
      </w:r>
      <w:r>
        <w:rPr>
          <w:rFonts w:hint="eastAsia" w:ascii="华文仿宋" w:hAnsi="华文仿宋" w:eastAsia="华文仿宋"/>
          <w:sz w:val="28"/>
          <w:szCs w:val="28"/>
        </w:rPr>
        <w:t>为：</w:t>
      </w:r>
    </w:p>
    <w:p w14:paraId="42426EE6">
      <w:pPr>
        <w:spacing w:line="360" w:lineRule="auto"/>
        <w:ind w:firstLine="480"/>
        <w:jc w:val="center"/>
        <w:rPr>
          <w:rFonts w:ascii="华文仿宋" w:hAnsi="华文仿宋" w:eastAsia="华文仿宋"/>
          <w:sz w:val="28"/>
          <w:szCs w:val="28"/>
        </w:rPr>
      </w:pPr>
      <w:r>
        <w:rPr>
          <w:rFonts w:ascii="华文仿宋" w:hAnsi="华文仿宋" w:eastAsia="华文仿宋"/>
          <w:position w:val="-72"/>
          <w:sz w:val="28"/>
          <w:szCs w:val="28"/>
        </w:rPr>
        <w:object>
          <v:shape id="_x0000_i1092" o:spt="75" type="#_x0000_t75" style="height:78pt;width:280.5pt;" o:ole="t" filled="f" o:preferrelative="t" stroked="f" coordsize="21600,21600">
            <v:path/>
            <v:fill on="f" focussize="0,0"/>
            <v:stroke on="f" joinstyle="miter"/>
            <v:imagedata r:id="rId129" o:title=""/>
            <o:lock v:ext="edit" aspectratio="t"/>
            <w10:wrap type="none"/>
            <w10:anchorlock/>
          </v:shape>
          <o:OLEObject Type="Embed" ProgID="Equation.DSMT4" ShapeID="_x0000_i1092" DrawAspect="Content" ObjectID="_1468075792" r:id="rId128">
            <o:LockedField>false</o:LockedField>
          </o:OLEObject>
        </w:object>
      </w:r>
    </w:p>
    <w:p w14:paraId="5EA0875D">
      <w:pPr>
        <w:pStyle w:val="15"/>
        <w:numPr>
          <w:ilvl w:val="0"/>
          <w:numId w:val="11"/>
        </w:numPr>
        <w:spacing w:line="360" w:lineRule="auto"/>
        <w:ind w:firstLineChars="0"/>
        <w:rPr>
          <w:rFonts w:ascii="华文仿宋" w:hAnsi="华文仿宋" w:eastAsia="华文仿宋"/>
          <w:sz w:val="28"/>
          <w:szCs w:val="28"/>
        </w:rPr>
      </w:pPr>
      <w:r>
        <w:rPr>
          <w:rFonts w:hint="eastAsia" w:ascii="华文仿宋" w:hAnsi="华文仿宋" w:eastAsia="华文仿宋"/>
          <w:sz w:val="28"/>
          <w:szCs w:val="28"/>
        </w:rPr>
        <w:t>二级评价</w:t>
      </w:r>
    </w:p>
    <w:p w14:paraId="1681E79D">
      <w:pPr>
        <w:spacing w:line="360" w:lineRule="auto"/>
        <w:ind w:firstLine="480"/>
        <w:rPr>
          <w:rFonts w:ascii="华文仿宋" w:hAnsi="华文仿宋" w:eastAsia="华文仿宋"/>
          <w:sz w:val="28"/>
          <w:szCs w:val="28"/>
        </w:rPr>
      </w:pPr>
      <w:r>
        <w:rPr>
          <w:rFonts w:ascii="华文仿宋" w:hAnsi="华文仿宋" w:eastAsia="华文仿宋"/>
          <w:sz w:val="28"/>
          <w:szCs w:val="28"/>
        </w:rPr>
        <w:t>由各1级指标的权重向量与1级指标针对各适应性等级的关联系数相乘确定待评价对象针对各适应性等级的关联度矩阵为</w:t>
      </w:r>
    </w:p>
    <w:p w14:paraId="5F7B988A">
      <w:pPr>
        <w:spacing w:line="360" w:lineRule="auto"/>
        <w:ind w:firstLine="480"/>
        <w:jc w:val="center"/>
        <w:rPr>
          <w:rFonts w:ascii="华文仿宋" w:hAnsi="华文仿宋" w:eastAsia="华文仿宋"/>
          <w:sz w:val="28"/>
          <w:szCs w:val="28"/>
        </w:rPr>
      </w:pPr>
      <w:r>
        <w:rPr>
          <w:rFonts w:ascii="华文仿宋" w:hAnsi="华文仿宋" w:eastAsia="华文仿宋"/>
          <w:position w:val="-70"/>
          <w:sz w:val="28"/>
          <w:szCs w:val="28"/>
        </w:rPr>
        <w:object>
          <v:shape id="_x0000_i1093" o:spt="75" type="#_x0000_t75" style="height:76.5pt;width:264.75pt;" o:ole="t" filled="f" o:preferrelative="t" stroked="f" coordsize="21600,21600">
            <v:path/>
            <v:fill on="f" focussize="0,0"/>
            <v:stroke on="f" joinstyle="miter"/>
            <v:imagedata r:id="rId131" o:title=""/>
            <o:lock v:ext="edit" aspectratio="t"/>
            <w10:wrap type="none"/>
            <w10:anchorlock/>
          </v:shape>
          <o:OLEObject Type="Embed" ProgID="Equation.DSMT4" ShapeID="_x0000_i1093" DrawAspect="Content" ObjectID="_1468075793" r:id="rId130">
            <o:LockedField>false</o:LockedField>
          </o:OLEObject>
        </w:object>
      </w:r>
    </w:p>
    <w:p w14:paraId="495F4C96">
      <w:pPr>
        <w:spacing w:line="360" w:lineRule="auto"/>
        <w:ind w:firstLine="480"/>
        <w:jc w:val="left"/>
        <w:rPr>
          <w:rFonts w:ascii="华文仿宋" w:hAnsi="华文仿宋" w:eastAsia="华文仿宋"/>
        </w:rPr>
      </w:pPr>
      <w:r>
        <w:rPr>
          <w:rFonts w:hint="eastAsia" w:ascii="华文仿宋" w:hAnsi="华文仿宋" w:eastAsia="华文仿宋"/>
          <w:sz w:val="28"/>
          <w:szCs w:val="28"/>
        </w:rPr>
        <w:t>若满足：</w:t>
      </w:r>
      <w:r>
        <w:rPr>
          <w:rFonts w:ascii="华文仿宋" w:hAnsi="华文仿宋" w:eastAsia="华文仿宋"/>
          <w:position w:val="-22"/>
          <w:sz w:val="28"/>
          <w:szCs w:val="28"/>
        </w:rPr>
        <w:object>
          <v:shape id="_x0000_i1094" o:spt="75" type="#_x0000_t75" style="height:23.25pt;width:114.75pt;" o:ole="t" filled="f" o:preferrelative="t" stroked="f" coordsize="21600,21600">
            <v:path/>
            <v:fill on="f" focussize="0,0"/>
            <v:stroke on="f" joinstyle="miter"/>
            <v:imagedata r:id="rId133" o:title=""/>
            <o:lock v:ext="edit" aspectratio="t"/>
            <w10:wrap type="none"/>
            <w10:anchorlock/>
          </v:shape>
          <o:OLEObject Type="Embed" ProgID="Equation.DSMT4" ShapeID="_x0000_i1094" DrawAspect="Content" ObjectID="_1468075794" r:id="rId132">
            <o:LockedField>false</o:LockedField>
          </o:OLEObject>
        </w:object>
      </w:r>
      <w:r>
        <w:rPr>
          <w:rFonts w:ascii="华文仿宋" w:hAnsi="华文仿宋" w:eastAsia="华文仿宋"/>
          <w:sz w:val="28"/>
          <w:szCs w:val="28"/>
        </w:rPr>
        <w:t>,</w:t>
      </w:r>
      <w:r>
        <w:rPr>
          <w:rFonts w:hint="eastAsia" w:ascii="华文仿宋" w:hAnsi="华文仿宋" w:eastAsia="华文仿宋"/>
          <w:sz w:val="28"/>
          <w:szCs w:val="28"/>
        </w:rPr>
        <w:t>则称待评对象</w:t>
      </w:r>
      <w:r>
        <w:rPr>
          <w:rFonts w:ascii="华文仿宋" w:hAnsi="华文仿宋" w:eastAsia="华文仿宋"/>
          <w:position w:val="-6"/>
          <w:sz w:val="28"/>
          <w:szCs w:val="28"/>
        </w:rPr>
        <w:object>
          <v:shape id="_x0000_i1095" o:spt="75" type="#_x0000_t75" style="height:14.25pt;width:14.25pt;" o:ole="t" filled="f" o:preferrelative="t" stroked="f" coordsize="21600,21600">
            <v:path/>
            <v:fill on="f" focussize="0,0"/>
            <v:stroke on="f" joinstyle="miter"/>
            <v:imagedata r:id="rId135" o:title=""/>
            <o:lock v:ext="edit" aspectratio="t"/>
            <w10:wrap type="none"/>
            <w10:anchorlock/>
          </v:shape>
          <o:OLEObject Type="Embed" ProgID="Equation.DSMT4" ShapeID="_x0000_i1095" DrawAspect="Content" ObjectID="_1468075795" r:id="rId134">
            <o:LockedField>false</o:LockedField>
          </o:OLEObject>
        </w:object>
      </w:r>
      <w:r>
        <w:rPr>
          <w:rFonts w:hint="eastAsia" w:ascii="华文仿宋" w:hAnsi="华文仿宋" w:eastAsia="华文仿宋"/>
          <w:sz w:val="28"/>
          <w:szCs w:val="28"/>
        </w:rPr>
        <w:t>属于等级</w:t>
      </w:r>
      <w:r>
        <w:rPr>
          <w:rFonts w:ascii="华文仿宋" w:hAnsi="华文仿宋" w:eastAsia="华文仿宋"/>
          <w:position w:val="-10"/>
          <w:sz w:val="28"/>
          <w:szCs w:val="28"/>
        </w:rPr>
        <w:object>
          <v:shape id="_x0000_i1096" o:spt="75" type="#_x0000_t75" style="height:15pt;width:10.5pt;" o:ole="t" filled="f" o:preferrelative="t" stroked="f" coordsize="21600,21600">
            <v:path/>
            <v:fill on="f" focussize="0,0"/>
            <v:stroke on="f" joinstyle="miter"/>
            <v:imagedata r:id="rId137" o:title=""/>
            <o:lock v:ext="edit" aspectratio="t"/>
            <w10:wrap type="none"/>
            <w10:anchorlock/>
          </v:shape>
          <o:OLEObject Type="Embed" ProgID="Equation.DSMT4" ShapeID="_x0000_i1096" DrawAspect="Content" ObjectID="_1468075796" r:id="rId136">
            <o:LockedField>false</o:LockedField>
          </o:OLEObject>
        </w:object>
      </w:r>
      <w:r>
        <w:rPr>
          <w:rFonts w:hint="eastAsia" w:ascii="华文仿宋" w:hAnsi="华文仿宋" w:eastAsia="华文仿宋"/>
          <w:sz w:val="28"/>
          <w:szCs w:val="28"/>
        </w:rPr>
        <w:t>，即属于某适应性等级的程度</w:t>
      </w:r>
      <w:r>
        <w:rPr>
          <w:rFonts w:hint="eastAsia" w:ascii="华文仿宋" w:hAnsi="华文仿宋" w:eastAsia="华文仿宋"/>
        </w:rPr>
        <w:t>。</w:t>
      </w:r>
    </w:p>
    <w:p w14:paraId="4ED111E6">
      <w:pPr>
        <w:pStyle w:val="6"/>
        <w:spacing w:line="360" w:lineRule="auto"/>
        <w:rPr>
          <w:rFonts w:ascii="华文仿宋" w:hAnsi="华文仿宋" w:eastAsia="华文仿宋"/>
        </w:rPr>
      </w:pPr>
      <w:r>
        <w:rPr>
          <w:rFonts w:hint="eastAsia" w:ascii="华文仿宋" w:hAnsi="华文仿宋" w:eastAsia="华文仿宋"/>
        </w:rPr>
        <w:t>3.3</w:t>
      </w:r>
      <w:r>
        <w:rPr>
          <w:rFonts w:ascii="华文仿宋" w:hAnsi="华文仿宋" w:eastAsia="华文仿宋"/>
        </w:rPr>
        <w:t xml:space="preserve"> </w:t>
      </w:r>
      <w:r>
        <w:rPr>
          <w:rFonts w:hint="eastAsia" w:ascii="华文仿宋" w:hAnsi="华文仿宋" w:eastAsia="华文仿宋"/>
        </w:rPr>
        <w:t>突泉县区域交通经济适应性分析</w:t>
      </w:r>
    </w:p>
    <w:p w14:paraId="1F1A6251">
      <w:pPr>
        <w:spacing w:line="360" w:lineRule="auto"/>
        <w:ind w:firstLine="480"/>
        <w:rPr>
          <w:rFonts w:ascii="华文仿宋" w:hAnsi="华文仿宋" w:eastAsia="华文仿宋"/>
          <w:iCs/>
          <w:sz w:val="28"/>
          <w:szCs w:val="28"/>
        </w:rPr>
      </w:pPr>
      <w:r>
        <w:rPr>
          <w:rFonts w:hint="eastAsia" w:ascii="华文仿宋" w:hAnsi="华文仿宋" w:eastAsia="华文仿宋"/>
          <w:iCs/>
          <w:sz w:val="28"/>
          <w:szCs w:val="28"/>
        </w:rPr>
        <w:t>本文将区域交通系统经济适应性分为滞后、不适应、基本适应、适应、超前5个等级，定量指标的评价标准参照国内外发达地区与欠发达地区该指标值的取值范围划定(注:为方便计算，部分指标实际取值范围不限于所给评价标准的闭合取值区间，当指标实际值超过所列闭合区间是按距该值最接近的闭合区间边界值的计算);定性指标依据我国教育机构和居民广泛认可的100分制评分标准，60分及以上划分各不同适应等级，高于90分为超前，60分以下划分各不适应等级，低于40分为滞后，评价时采用德尔菲法(Delphi)按照相应等级标准评分。所有指标的具体评价标准见表2-6。</w:t>
      </w:r>
    </w:p>
    <w:p w14:paraId="01D66511">
      <w:pPr>
        <w:spacing w:line="360" w:lineRule="auto"/>
        <w:ind w:firstLine="480"/>
        <w:rPr>
          <w:rFonts w:ascii="华文仿宋" w:hAnsi="华文仿宋" w:eastAsia="华文仿宋"/>
          <w:iCs/>
        </w:rPr>
      </w:pPr>
    </w:p>
    <w:p w14:paraId="023FC0A1">
      <w:pPr>
        <w:spacing w:line="360" w:lineRule="auto"/>
        <w:ind w:firstLine="440"/>
        <w:jc w:val="center"/>
        <w:rPr>
          <w:rFonts w:ascii="华文仿宋" w:hAnsi="华文仿宋" w:eastAsia="华文仿宋"/>
          <w:b/>
          <w:bCs/>
          <w:sz w:val="22"/>
        </w:rPr>
      </w:pPr>
      <w:r>
        <w:rPr>
          <w:rFonts w:hint="eastAsia" w:ascii="华文仿宋" w:hAnsi="华文仿宋" w:eastAsia="华文仿宋"/>
          <w:b/>
          <w:bCs/>
          <w:sz w:val="22"/>
        </w:rPr>
        <w:t>表2-6</w:t>
      </w:r>
      <w:r>
        <w:rPr>
          <w:rFonts w:ascii="华文仿宋" w:hAnsi="华文仿宋" w:eastAsia="华文仿宋"/>
          <w:b/>
          <w:bCs/>
          <w:sz w:val="22"/>
        </w:rPr>
        <w:t xml:space="preserve"> </w:t>
      </w:r>
      <w:r>
        <w:rPr>
          <w:rFonts w:hint="eastAsia" w:ascii="华文仿宋" w:hAnsi="华文仿宋" w:eastAsia="华文仿宋"/>
          <w:b/>
          <w:bCs/>
          <w:sz w:val="22"/>
        </w:rPr>
        <w:t>评价指标各等级的评价标准</w:t>
      </w:r>
    </w:p>
    <w:tbl>
      <w:tblPr>
        <w:tblStyle w:val="17"/>
        <w:tblW w:w="8678" w:type="dxa"/>
        <w:jc w:val="center"/>
        <w:tblLayout w:type="fixed"/>
        <w:tblCellMar>
          <w:top w:w="0" w:type="dxa"/>
          <w:left w:w="108" w:type="dxa"/>
          <w:bottom w:w="0" w:type="dxa"/>
          <w:right w:w="108" w:type="dxa"/>
        </w:tblCellMar>
      </w:tblPr>
      <w:tblGrid>
        <w:gridCol w:w="2410"/>
        <w:gridCol w:w="1276"/>
        <w:gridCol w:w="1276"/>
        <w:gridCol w:w="1320"/>
        <w:gridCol w:w="1198"/>
        <w:gridCol w:w="1198"/>
      </w:tblGrid>
      <w:tr w14:paraId="48C84C5F">
        <w:tblPrEx>
          <w:tblCellMar>
            <w:top w:w="0" w:type="dxa"/>
            <w:left w:w="108" w:type="dxa"/>
            <w:bottom w:w="0" w:type="dxa"/>
            <w:right w:w="108" w:type="dxa"/>
          </w:tblCellMar>
        </w:tblPrEx>
        <w:trPr>
          <w:trHeight w:val="426" w:hRule="atLeast"/>
          <w:jc w:val="center"/>
        </w:trPr>
        <w:tc>
          <w:tcPr>
            <w:tcW w:w="2410" w:type="dxa"/>
            <w:tcBorders>
              <w:bottom w:val="single" w:color="7E7E7E" w:themeColor="text1" w:themeTint="80" w:sz="4" w:space="0"/>
              <w:right w:val="nil"/>
              <w:insideH w:val="single" w:sz="4" w:space="0"/>
            </w:tcBorders>
            <w:shd w:val="clear" w:color="auto" w:fill="FFFFFF" w:themeFill="background1"/>
            <w:noWrap/>
          </w:tcPr>
          <w:p w14:paraId="11ECA428">
            <w:pPr>
              <w:widowControl/>
              <w:spacing w:line="360" w:lineRule="auto"/>
              <w:jc w:val="center"/>
              <w:rPr>
                <w:rFonts w:ascii="华文仿宋" w:hAnsi="华文仿宋" w:eastAsia="华文仿宋" w:cs="宋体"/>
                <w:i/>
                <w:iCs/>
                <w:color w:val="000000"/>
                <w:kern w:val="0"/>
                <w:sz w:val="24"/>
              </w:rPr>
            </w:pPr>
            <w:r>
              <w:rPr>
                <w:rFonts w:hint="eastAsia" w:ascii="华文仿宋" w:hAnsi="华文仿宋" w:eastAsia="华文仿宋" w:cs="宋体"/>
                <w:i w:val="0"/>
                <w:iCs w:val="0"/>
                <w:color w:val="000000"/>
                <w:kern w:val="0"/>
                <w:sz w:val="24"/>
              </w:rPr>
              <w:t>指标</w:t>
            </w:r>
          </w:p>
        </w:tc>
        <w:tc>
          <w:tcPr>
            <w:tcW w:w="1276" w:type="dxa"/>
            <w:tcBorders>
              <w:bottom w:val="single" w:color="7E7E7E" w:themeColor="text1" w:themeTint="80" w:sz="4" w:space="0"/>
              <w:insideH w:val="single" w:sz="4" w:space="0"/>
            </w:tcBorders>
            <w:shd w:val="clear" w:color="auto" w:fill="FFFFFF" w:themeFill="background1"/>
            <w:noWrap/>
          </w:tcPr>
          <w:p w14:paraId="7FEEE3A0">
            <w:pPr>
              <w:widowControl/>
              <w:spacing w:line="360" w:lineRule="auto"/>
              <w:jc w:val="center"/>
              <w:rPr>
                <w:rFonts w:ascii="华文仿宋" w:hAnsi="华文仿宋" w:eastAsia="华文仿宋" w:cs="宋体"/>
                <w:i/>
                <w:iCs/>
                <w:color w:val="000000"/>
                <w:kern w:val="0"/>
                <w:sz w:val="24"/>
              </w:rPr>
            </w:pPr>
            <w:r>
              <w:rPr>
                <w:rFonts w:hint="eastAsia" w:ascii="华文仿宋" w:hAnsi="华文仿宋" w:eastAsia="华文仿宋" w:cs="宋体"/>
                <w:i w:val="0"/>
                <w:iCs w:val="0"/>
                <w:color w:val="000000"/>
                <w:kern w:val="0"/>
                <w:sz w:val="24"/>
              </w:rPr>
              <w:t>滞后</w:t>
            </w:r>
          </w:p>
        </w:tc>
        <w:tc>
          <w:tcPr>
            <w:tcW w:w="1276" w:type="dxa"/>
            <w:tcBorders>
              <w:bottom w:val="single" w:color="7E7E7E" w:themeColor="text1" w:themeTint="80" w:sz="4" w:space="0"/>
              <w:insideH w:val="single" w:sz="4" w:space="0"/>
            </w:tcBorders>
            <w:shd w:val="clear" w:color="auto" w:fill="FFFFFF" w:themeFill="background1"/>
            <w:noWrap/>
          </w:tcPr>
          <w:p w14:paraId="5D24D300">
            <w:pPr>
              <w:widowControl/>
              <w:spacing w:line="360" w:lineRule="auto"/>
              <w:jc w:val="center"/>
              <w:rPr>
                <w:rFonts w:ascii="华文仿宋" w:hAnsi="华文仿宋" w:eastAsia="华文仿宋" w:cs="宋体"/>
                <w:i/>
                <w:iCs/>
                <w:color w:val="000000"/>
                <w:kern w:val="0"/>
                <w:sz w:val="24"/>
              </w:rPr>
            </w:pPr>
            <w:r>
              <w:rPr>
                <w:rFonts w:hint="eastAsia" w:ascii="华文仿宋" w:hAnsi="华文仿宋" w:eastAsia="华文仿宋" w:cs="宋体"/>
                <w:i w:val="0"/>
                <w:iCs w:val="0"/>
                <w:color w:val="000000"/>
                <w:kern w:val="0"/>
                <w:sz w:val="24"/>
              </w:rPr>
              <w:t>不适应</w:t>
            </w:r>
          </w:p>
        </w:tc>
        <w:tc>
          <w:tcPr>
            <w:tcW w:w="1320" w:type="dxa"/>
            <w:tcBorders>
              <w:bottom w:val="single" w:color="7E7E7E" w:themeColor="text1" w:themeTint="80" w:sz="4" w:space="0"/>
              <w:insideH w:val="single" w:sz="4" w:space="0"/>
            </w:tcBorders>
            <w:shd w:val="clear" w:color="auto" w:fill="FFFFFF" w:themeFill="background1"/>
            <w:noWrap/>
          </w:tcPr>
          <w:p w14:paraId="3A129A13">
            <w:pPr>
              <w:widowControl/>
              <w:spacing w:line="360" w:lineRule="auto"/>
              <w:jc w:val="center"/>
              <w:rPr>
                <w:rFonts w:ascii="华文仿宋" w:hAnsi="华文仿宋" w:eastAsia="华文仿宋" w:cs="宋体"/>
                <w:i/>
                <w:iCs/>
                <w:color w:val="000000"/>
                <w:kern w:val="0"/>
                <w:sz w:val="24"/>
              </w:rPr>
            </w:pPr>
            <w:r>
              <w:rPr>
                <w:rFonts w:hint="eastAsia" w:ascii="华文仿宋" w:hAnsi="华文仿宋" w:eastAsia="华文仿宋" w:cs="宋体"/>
                <w:i w:val="0"/>
                <w:iCs w:val="0"/>
                <w:color w:val="000000"/>
                <w:kern w:val="0"/>
                <w:sz w:val="24"/>
              </w:rPr>
              <w:t>基本适应</w:t>
            </w:r>
          </w:p>
        </w:tc>
        <w:tc>
          <w:tcPr>
            <w:tcW w:w="1198" w:type="dxa"/>
            <w:tcBorders>
              <w:bottom w:val="single" w:color="7E7E7E" w:themeColor="text1" w:themeTint="80" w:sz="4" w:space="0"/>
              <w:insideH w:val="single" w:sz="4" w:space="0"/>
            </w:tcBorders>
            <w:shd w:val="clear" w:color="auto" w:fill="FFFFFF" w:themeFill="background1"/>
            <w:noWrap/>
          </w:tcPr>
          <w:p w14:paraId="6A1A7ECA">
            <w:pPr>
              <w:widowControl/>
              <w:spacing w:line="360" w:lineRule="auto"/>
              <w:jc w:val="center"/>
              <w:rPr>
                <w:rFonts w:ascii="华文仿宋" w:hAnsi="华文仿宋" w:eastAsia="华文仿宋" w:cs="宋体"/>
                <w:i/>
                <w:iCs/>
                <w:color w:val="000000"/>
                <w:kern w:val="0"/>
                <w:sz w:val="24"/>
              </w:rPr>
            </w:pPr>
            <w:r>
              <w:rPr>
                <w:rFonts w:hint="eastAsia" w:ascii="华文仿宋" w:hAnsi="华文仿宋" w:eastAsia="华文仿宋" w:cs="宋体"/>
                <w:i w:val="0"/>
                <w:iCs w:val="0"/>
                <w:color w:val="000000"/>
                <w:kern w:val="0"/>
                <w:sz w:val="24"/>
              </w:rPr>
              <w:t>适应</w:t>
            </w:r>
          </w:p>
        </w:tc>
        <w:tc>
          <w:tcPr>
            <w:tcW w:w="1198" w:type="dxa"/>
            <w:tcBorders>
              <w:bottom w:val="single" w:color="7E7E7E" w:themeColor="text1" w:themeTint="80" w:sz="4" w:space="0"/>
              <w:insideH w:val="single" w:sz="4" w:space="0"/>
            </w:tcBorders>
            <w:shd w:val="clear" w:color="auto" w:fill="FFFFFF" w:themeFill="background1"/>
            <w:noWrap/>
          </w:tcPr>
          <w:p w14:paraId="684FF098">
            <w:pPr>
              <w:widowControl/>
              <w:spacing w:line="360" w:lineRule="auto"/>
              <w:jc w:val="center"/>
              <w:rPr>
                <w:rFonts w:ascii="华文仿宋" w:hAnsi="华文仿宋" w:eastAsia="华文仿宋" w:cs="宋体"/>
                <w:i/>
                <w:iCs/>
                <w:color w:val="000000"/>
                <w:kern w:val="0"/>
                <w:sz w:val="24"/>
              </w:rPr>
            </w:pPr>
            <w:r>
              <w:rPr>
                <w:rFonts w:hint="eastAsia" w:ascii="华文仿宋" w:hAnsi="华文仿宋" w:eastAsia="华文仿宋" w:cs="宋体"/>
                <w:i w:val="0"/>
                <w:iCs w:val="0"/>
                <w:color w:val="000000"/>
                <w:kern w:val="0"/>
                <w:sz w:val="24"/>
              </w:rPr>
              <w:t>超前</w:t>
            </w:r>
          </w:p>
        </w:tc>
      </w:tr>
      <w:tr w14:paraId="42BFB25C">
        <w:tblPrEx>
          <w:tblCellMar>
            <w:top w:w="0" w:type="dxa"/>
            <w:left w:w="108" w:type="dxa"/>
            <w:bottom w:w="0" w:type="dxa"/>
            <w:right w:w="108" w:type="dxa"/>
          </w:tblCellMar>
        </w:tblPrEx>
        <w:trPr>
          <w:trHeight w:val="422" w:hRule="atLeast"/>
          <w:jc w:val="center"/>
        </w:trPr>
        <w:tc>
          <w:tcPr>
            <w:tcW w:w="2410" w:type="dxa"/>
            <w:tcBorders>
              <w:right w:val="single" w:color="7E7E7E" w:themeColor="text1" w:themeTint="80" w:sz="4" w:space="0"/>
              <w:insideV w:val="single" w:sz="4" w:space="0"/>
            </w:tcBorders>
            <w:shd w:val="clear" w:color="auto" w:fill="FFFFFF" w:themeFill="background1"/>
            <w:noWrap/>
          </w:tcPr>
          <w:p w14:paraId="474E71E9">
            <w:pPr>
              <w:widowControl/>
              <w:spacing w:line="360" w:lineRule="auto"/>
              <w:jc w:val="center"/>
              <w:rPr>
                <w:rFonts w:ascii="华文仿宋" w:hAnsi="华文仿宋" w:eastAsia="华文仿宋" w:cs="宋体"/>
                <w:i/>
                <w:iCs/>
                <w:color w:val="000000"/>
                <w:kern w:val="0"/>
                <w:sz w:val="24"/>
              </w:rPr>
            </w:pPr>
            <w:r>
              <w:rPr>
                <w:rFonts w:hint="eastAsia" w:ascii="华文仿宋" w:hAnsi="华文仿宋" w:eastAsia="华文仿宋" w:cs="宋体"/>
                <w:i w:val="0"/>
                <w:iCs w:val="0"/>
                <w:color w:val="000000"/>
                <w:kern w:val="0"/>
                <w:sz w:val="24"/>
              </w:rPr>
              <w:t>交通运网综合密度</w:t>
            </w:r>
          </w:p>
        </w:tc>
        <w:tc>
          <w:tcPr>
            <w:tcW w:w="1276" w:type="dxa"/>
            <w:shd w:val="clear" w:color="auto" w:fill="F1F1F1" w:themeFill="background1" w:themeFillShade="F2"/>
            <w:noWrap/>
          </w:tcPr>
          <w:p w14:paraId="635F8D92">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[0，30]</w:t>
            </w:r>
          </w:p>
        </w:tc>
        <w:tc>
          <w:tcPr>
            <w:tcW w:w="1276" w:type="dxa"/>
            <w:shd w:val="clear" w:color="auto" w:fill="F1F1F1" w:themeFill="background1" w:themeFillShade="F2"/>
            <w:noWrap/>
          </w:tcPr>
          <w:p w14:paraId="12A5DF65">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[30，50]</w:t>
            </w:r>
          </w:p>
        </w:tc>
        <w:tc>
          <w:tcPr>
            <w:tcW w:w="1320" w:type="dxa"/>
            <w:shd w:val="clear" w:color="auto" w:fill="F1F1F1" w:themeFill="background1" w:themeFillShade="F2"/>
            <w:noWrap/>
          </w:tcPr>
          <w:p w14:paraId="6CF70BC6">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[50，60]</w:t>
            </w:r>
          </w:p>
        </w:tc>
        <w:tc>
          <w:tcPr>
            <w:tcW w:w="1198" w:type="dxa"/>
            <w:shd w:val="clear" w:color="auto" w:fill="F1F1F1" w:themeFill="background1" w:themeFillShade="F2"/>
            <w:noWrap/>
          </w:tcPr>
          <w:p w14:paraId="6F1F6E5E">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[60，70]</w:t>
            </w:r>
          </w:p>
        </w:tc>
        <w:tc>
          <w:tcPr>
            <w:tcW w:w="1198" w:type="dxa"/>
            <w:shd w:val="clear" w:color="auto" w:fill="F1F1F1" w:themeFill="background1" w:themeFillShade="F2"/>
            <w:noWrap/>
          </w:tcPr>
          <w:p w14:paraId="2EA4D775">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[70，100]</w:t>
            </w:r>
          </w:p>
        </w:tc>
      </w:tr>
      <w:tr w14:paraId="21A49BA0">
        <w:tblPrEx>
          <w:tblCellMar>
            <w:top w:w="0" w:type="dxa"/>
            <w:left w:w="108" w:type="dxa"/>
            <w:bottom w:w="0" w:type="dxa"/>
            <w:right w:w="108" w:type="dxa"/>
          </w:tblCellMar>
        </w:tblPrEx>
        <w:trPr>
          <w:trHeight w:val="423" w:hRule="atLeast"/>
          <w:jc w:val="center"/>
        </w:trPr>
        <w:tc>
          <w:tcPr>
            <w:tcW w:w="2410" w:type="dxa"/>
            <w:tcBorders>
              <w:right w:val="single" w:color="7E7E7E" w:themeColor="text1" w:themeTint="80" w:sz="4" w:space="0"/>
              <w:insideV w:val="single" w:sz="4" w:space="0"/>
            </w:tcBorders>
            <w:shd w:val="clear" w:color="auto" w:fill="FFFFFF" w:themeFill="background1"/>
            <w:noWrap/>
          </w:tcPr>
          <w:p w14:paraId="0D8F55BF">
            <w:pPr>
              <w:widowControl/>
              <w:spacing w:line="360" w:lineRule="auto"/>
              <w:jc w:val="center"/>
              <w:rPr>
                <w:rFonts w:ascii="华文仿宋" w:hAnsi="华文仿宋" w:eastAsia="华文仿宋" w:cs="宋体"/>
                <w:i/>
                <w:iCs/>
                <w:color w:val="000000"/>
                <w:kern w:val="0"/>
                <w:sz w:val="24"/>
              </w:rPr>
            </w:pPr>
            <w:r>
              <w:rPr>
                <w:rFonts w:hint="eastAsia" w:ascii="华文仿宋" w:hAnsi="华文仿宋" w:eastAsia="华文仿宋" w:cs="宋体"/>
                <w:i w:val="0"/>
                <w:iCs w:val="0"/>
                <w:color w:val="000000"/>
                <w:kern w:val="0"/>
                <w:sz w:val="24"/>
              </w:rPr>
              <w:t>运网等级水平指数</w:t>
            </w:r>
          </w:p>
        </w:tc>
        <w:tc>
          <w:tcPr>
            <w:tcW w:w="1276" w:type="dxa"/>
            <w:noWrap/>
          </w:tcPr>
          <w:p w14:paraId="636C7E3C">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[2.6，5]</w:t>
            </w:r>
          </w:p>
        </w:tc>
        <w:tc>
          <w:tcPr>
            <w:tcW w:w="1276" w:type="dxa"/>
            <w:noWrap/>
          </w:tcPr>
          <w:p w14:paraId="752B1148">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[2.45，2.6]</w:t>
            </w:r>
          </w:p>
        </w:tc>
        <w:tc>
          <w:tcPr>
            <w:tcW w:w="1320" w:type="dxa"/>
            <w:noWrap/>
          </w:tcPr>
          <w:p w14:paraId="79B0C50F">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[2.3，2.45]</w:t>
            </w:r>
          </w:p>
        </w:tc>
        <w:tc>
          <w:tcPr>
            <w:tcW w:w="1198" w:type="dxa"/>
            <w:noWrap/>
          </w:tcPr>
          <w:p w14:paraId="7C86CEF3">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[2.2，2.3]</w:t>
            </w:r>
          </w:p>
        </w:tc>
        <w:tc>
          <w:tcPr>
            <w:tcW w:w="1198" w:type="dxa"/>
            <w:noWrap/>
          </w:tcPr>
          <w:p w14:paraId="490BF1FF">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[0，2.2]</w:t>
            </w:r>
          </w:p>
        </w:tc>
      </w:tr>
      <w:tr w14:paraId="475335D3">
        <w:tblPrEx>
          <w:tblCellMar>
            <w:top w:w="0" w:type="dxa"/>
            <w:left w:w="108" w:type="dxa"/>
            <w:bottom w:w="0" w:type="dxa"/>
            <w:right w:w="108" w:type="dxa"/>
          </w:tblCellMar>
        </w:tblPrEx>
        <w:trPr>
          <w:trHeight w:val="361" w:hRule="atLeast"/>
          <w:jc w:val="center"/>
        </w:trPr>
        <w:tc>
          <w:tcPr>
            <w:tcW w:w="2410" w:type="dxa"/>
            <w:tcBorders>
              <w:right w:val="single" w:color="7E7E7E" w:themeColor="text1" w:themeTint="80" w:sz="4" w:space="0"/>
              <w:insideV w:val="single" w:sz="4" w:space="0"/>
            </w:tcBorders>
            <w:shd w:val="clear" w:color="auto" w:fill="FFFFFF" w:themeFill="background1"/>
            <w:noWrap/>
          </w:tcPr>
          <w:p w14:paraId="7E5CF0E3">
            <w:pPr>
              <w:widowControl/>
              <w:spacing w:line="360" w:lineRule="auto"/>
              <w:jc w:val="center"/>
              <w:rPr>
                <w:rFonts w:ascii="华文仿宋" w:hAnsi="华文仿宋" w:eastAsia="华文仿宋" w:cs="宋体"/>
                <w:i/>
                <w:iCs/>
                <w:color w:val="000000"/>
                <w:kern w:val="0"/>
                <w:sz w:val="24"/>
              </w:rPr>
            </w:pPr>
            <w:r>
              <w:rPr>
                <w:rFonts w:hint="eastAsia" w:ascii="华文仿宋" w:hAnsi="华文仿宋" w:eastAsia="华文仿宋" w:cs="宋体"/>
                <w:i w:val="0"/>
                <w:iCs w:val="0"/>
                <w:color w:val="000000"/>
                <w:kern w:val="0"/>
                <w:sz w:val="24"/>
              </w:rPr>
              <w:t>交通投资协调指数</w:t>
            </w:r>
          </w:p>
        </w:tc>
        <w:tc>
          <w:tcPr>
            <w:tcW w:w="1276" w:type="dxa"/>
            <w:shd w:val="clear" w:color="auto" w:fill="F1F1F1" w:themeFill="background1" w:themeFillShade="F2"/>
            <w:noWrap/>
          </w:tcPr>
          <w:p w14:paraId="474708BE">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[0，0.5]</w:t>
            </w:r>
          </w:p>
        </w:tc>
        <w:tc>
          <w:tcPr>
            <w:tcW w:w="1276" w:type="dxa"/>
            <w:shd w:val="clear" w:color="auto" w:fill="F1F1F1" w:themeFill="background1" w:themeFillShade="F2"/>
            <w:noWrap/>
          </w:tcPr>
          <w:p w14:paraId="293F3B03">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[0.5，1]</w:t>
            </w:r>
          </w:p>
        </w:tc>
        <w:tc>
          <w:tcPr>
            <w:tcW w:w="1320" w:type="dxa"/>
            <w:shd w:val="clear" w:color="auto" w:fill="F1F1F1" w:themeFill="background1" w:themeFillShade="F2"/>
            <w:noWrap/>
          </w:tcPr>
          <w:p w14:paraId="04F2DF3B">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[1，3]</w:t>
            </w:r>
          </w:p>
        </w:tc>
        <w:tc>
          <w:tcPr>
            <w:tcW w:w="1198" w:type="dxa"/>
            <w:shd w:val="clear" w:color="auto" w:fill="F1F1F1" w:themeFill="background1" w:themeFillShade="F2"/>
            <w:noWrap/>
          </w:tcPr>
          <w:p w14:paraId="183A254A">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[3，5]</w:t>
            </w:r>
          </w:p>
        </w:tc>
        <w:tc>
          <w:tcPr>
            <w:tcW w:w="1198" w:type="dxa"/>
            <w:shd w:val="clear" w:color="auto" w:fill="F1F1F1" w:themeFill="background1" w:themeFillShade="F2"/>
            <w:noWrap/>
          </w:tcPr>
          <w:p w14:paraId="53B0CA98">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[5，6]</w:t>
            </w:r>
          </w:p>
        </w:tc>
      </w:tr>
      <w:tr w14:paraId="5E043587">
        <w:tblPrEx>
          <w:tblCellMar>
            <w:top w:w="0" w:type="dxa"/>
            <w:left w:w="108" w:type="dxa"/>
            <w:bottom w:w="0" w:type="dxa"/>
            <w:right w:w="108" w:type="dxa"/>
          </w:tblCellMar>
        </w:tblPrEx>
        <w:trPr>
          <w:trHeight w:val="423" w:hRule="atLeast"/>
          <w:jc w:val="center"/>
        </w:trPr>
        <w:tc>
          <w:tcPr>
            <w:tcW w:w="2410" w:type="dxa"/>
            <w:tcBorders>
              <w:right w:val="single" w:color="7E7E7E" w:themeColor="text1" w:themeTint="80" w:sz="4" w:space="0"/>
              <w:insideV w:val="single" w:sz="4" w:space="0"/>
            </w:tcBorders>
            <w:shd w:val="clear" w:color="auto" w:fill="FFFFFF" w:themeFill="background1"/>
            <w:noWrap/>
          </w:tcPr>
          <w:p w14:paraId="3FFEEF75">
            <w:pPr>
              <w:widowControl/>
              <w:spacing w:line="360" w:lineRule="auto"/>
              <w:jc w:val="center"/>
              <w:rPr>
                <w:rFonts w:ascii="华文仿宋" w:hAnsi="华文仿宋" w:eastAsia="华文仿宋" w:cs="宋体"/>
                <w:i/>
                <w:iCs/>
                <w:color w:val="000000"/>
                <w:kern w:val="0"/>
                <w:sz w:val="24"/>
              </w:rPr>
            </w:pPr>
            <w:r>
              <w:rPr>
                <w:rFonts w:hint="eastAsia" w:ascii="华文仿宋" w:hAnsi="华文仿宋" w:eastAsia="华文仿宋" w:cs="宋体"/>
                <w:i w:val="0"/>
                <w:iCs w:val="0"/>
                <w:color w:val="000000"/>
                <w:kern w:val="0"/>
                <w:sz w:val="24"/>
              </w:rPr>
              <w:t>货运强度</w:t>
            </w:r>
          </w:p>
        </w:tc>
        <w:tc>
          <w:tcPr>
            <w:tcW w:w="1276" w:type="dxa"/>
            <w:noWrap/>
          </w:tcPr>
          <w:p w14:paraId="6086E448">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[0，10]</w:t>
            </w:r>
          </w:p>
        </w:tc>
        <w:tc>
          <w:tcPr>
            <w:tcW w:w="1276" w:type="dxa"/>
            <w:noWrap/>
          </w:tcPr>
          <w:p w14:paraId="7AAF048D">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[10，25]</w:t>
            </w:r>
          </w:p>
        </w:tc>
        <w:tc>
          <w:tcPr>
            <w:tcW w:w="1320" w:type="dxa"/>
            <w:noWrap/>
          </w:tcPr>
          <w:p w14:paraId="70A0E25B">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[25，40]</w:t>
            </w:r>
          </w:p>
        </w:tc>
        <w:tc>
          <w:tcPr>
            <w:tcW w:w="1198" w:type="dxa"/>
            <w:noWrap/>
          </w:tcPr>
          <w:p w14:paraId="46363797">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[40，70]</w:t>
            </w:r>
          </w:p>
        </w:tc>
        <w:tc>
          <w:tcPr>
            <w:tcW w:w="1198" w:type="dxa"/>
            <w:noWrap/>
          </w:tcPr>
          <w:p w14:paraId="44AA8101">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[70，100]</w:t>
            </w:r>
          </w:p>
        </w:tc>
      </w:tr>
      <w:tr w14:paraId="24815963">
        <w:tblPrEx>
          <w:tblCellMar>
            <w:top w:w="0" w:type="dxa"/>
            <w:left w:w="108" w:type="dxa"/>
            <w:bottom w:w="0" w:type="dxa"/>
            <w:right w:w="108" w:type="dxa"/>
          </w:tblCellMar>
        </w:tblPrEx>
        <w:trPr>
          <w:trHeight w:val="429" w:hRule="atLeast"/>
          <w:jc w:val="center"/>
        </w:trPr>
        <w:tc>
          <w:tcPr>
            <w:tcW w:w="2410" w:type="dxa"/>
            <w:tcBorders>
              <w:right w:val="single" w:color="7E7E7E" w:themeColor="text1" w:themeTint="80" w:sz="4" w:space="0"/>
              <w:insideV w:val="single" w:sz="4" w:space="0"/>
            </w:tcBorders>
            <w:shd w:val="clear" w:color="auto" w:fill="FFFFFF" w:themeFill="background1"/>
            <w:noWrap/>
          </w:tcPr>
          <w:p w14:paraId="19094FC8">
            <w:pPr>
              <w:widowControl/>
              <w:spacing w:line="360" w:lineRule="auto"/>
              <w:jc w:val="center"/>
              <w:rPr>
                <w:rFonts w:ascii="华文仿宋" w:hAnsi="华文仿宋" w:eastAsia="华文仿宋" w:cs="宋体"/>
                <w:i/>
                <w:iCs/>
                <w:color w:val="000000"/>
                <w:kern w:val="0"/>
                <w:sz w:val="24"/>
              </w:rPr>
            </w:pPr>
            <w:r>
              <w:rPr>
                <w:rFonts w:hint="eastAsia" w:ascii="华文仿宋" w:hAnsi="华文仿宋" w:eastAsia="华文仿宋" w:cs="宋体"/>
                <w:i w:val="0"/>
                <w:iCs w:val="0"/>
                <w:color w:val="000000"/>
                <w:kern w:val="0"/>
                <w:sz w:val="24"/>
              </w:rPr>
              <w:t>客运强度</w:t>
            </w:r>
          </w:p>
        </w:tc>
        <w:tc>
          <w:tcPr>
            <w:tcW w:w="1276" w:type="dxa"/>
            <w:shd w:val="clear" w:color="auto" w:fill="F1F1F1" w:themeFill="background1" w:themeFillShade="F2"/>
            <w:noWrap/>
          </w:tcPr>
          <w:p w14:paraId="6447323E">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[0，10]</w:t>
            </w:r>
          </w:p>
        </w:tc>
        <w:tc>
          <w:tcPr>
            <w:tcW w:w="1276" w:type="dxa"/>
            <w:shd w:val="clear" w:color="auto" w:fill="F1F1F1" w:themeFill="background1" w:themeFillShade="F2"/>
            <w:noWrap/>
          </w:tcPr>
          <w:p w14:paraId="7077E5C6">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[10，15]</w:t>
            </w:r>
          </w:p>
        </w:tc>
        <w:tc>
          <w:tcPr>
            <w:tcW w:w="1320" w:type="dxa"/>
            <w:shd w:val="clear" w:color="auto" w:fill="F1F1F1" w:themeFill="background1" w:themeFillShade="F2"/>
            <w:noWrap/>
          </w:tcPr>
          <w:p w14:paraId="6A35DD27">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[15，35]</w:t>
            </w:r>
          </w:p>
        </w:tc>
        <w:tc>
          <w:tcPr>
            <w:tcW w:w="1198" w:type="dxa"/>
            <w:shd w:val="clear" w:color="auto" w:fill="F1F1F1" w:themeFill="background1" w:themeFillShade="F2"/>
            <w:noWrap/>
          </w:tcPr>
          <w:p w14:paraId="4C92459F">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[35，60]</w:t>
            </w:r>
          </w:p>
        </w:tc>
        <w:tc>
          <w:tcPr>
            <w:tcW w:w="1198" w:type="dxa"/>
            <w:shd w:val="clear" w:color="auto" w:fill="F1F1F1" w:themeFill="background1" w:themeFillShade="F2"/>
            <w:noWrap/>
          </w:tcPr>
          <w:p w14:paraId="09723327">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[60，100]</w:t>
            </w:r>
          </w:p>
        </w:tc>
      </w:tr>
      <w:tr w14:paraId="55AC0CC3">
        <w:tblPrEx>
          <w:tblCellMar>
            <w:top w:w="0" w:type="dxa"/>
            <w:left w:w="108" w:type="dxa"/>
            <w:bottom w:w="0" w:type="dxa"/>
            <w:right w:w="108" w:type="dxa"/>
          </w:tblCellMar>
        </w:tblPrEx>
        <w:trPr>
          <w:trHeight w:val="421" w:hRule="atLeast"/>
          <w:jc w:val="center"/>
        </w:trPr>
        <w:tc>
          <w:tcPr>
            <w:tcW w:w="2410" w:type="dxa"/>
            <w:tcBorders>
              <w:right w:val="single" w:color="7E7E7E" w:themeColor="text1" w:themeTint="80" w:sz="4" w:space="0"/>
              <w:insideV w:val="single" w:sz="4" w:space="0"/>
            </w:tcBorders>
            <w:shd w:val="clear" w:color="auto" w:fill="FFFFFF" w:themeFill="background1"/>
            <w:noWrap/>
          </w:tcPr>
          <w:p w14:paraId="68ACD8D4">
            <w:pPr>
              <w:widowControl/>
              <w:spacing w:line="360" w:lineRule="auto"/>
              <w:jc w:val="center"/>
              <w:rPr>
                <w:rFonts w:ascii="华文仿宋" w:hAnsi="华文仿宋" w:eastAsia="华文仿宋" w:cs="宋体"/>
                <w:i/>
                <w:iCs/>
                <w:color w:val="000000"/>
                <w:kern w:val="0"/>
                <w:sz w:val="24"/>
              </w:rPr>
            </w:pPr>
            <w:r>
              <w:rPr>
                <w:rFonts w:hint="eastAsia" w:ascii="华文仿宋" w:hAnsi="华文仿宋" w:eastAsia="华文仿宋" w:cs="宋体"/>
                <w:i w:val="0"/>
                <w:iCs w:val="0"/>
                <w:color w:val="000000"/>
                <w:kern w:val="0"/>
                <w:sz w:val="24"/>
              </w:rPr>
              <w:t>货运量与第一、第二产业发展协调指数</w:t>
            </w:r>
          </w:p>
        </w:tc>
        <w:tc>
          <w:tcPr>
            <w:tcW w:w="1276" w:type="dxa"/>
            <w:noWrap/>
          </w:tcPr>
          <w:p w14:paraId="143097DE">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[-1，0]</w:t>
            </w:r>
          </w:p>
        </w:tc>
        <w:tc>
          <w:tcPr>
            <w:tcW w:w="1276" w:type="dxa"/>
            <w:noWrap/>
          </w:tcPr>
          <w:p w14:paraId="6BFF0022">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[0,0.5]</w:t>
            </w:r>
          </w:p>
        </w:tc>
        <w:tc>
          <w:tcPr>
            <w:tcW w:w="1320" w:type="dxa"/>
            <w:noWrap/>
          </w:tcPr>
          <w:p w14:paraId="104EF55A">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[0.5,1]</w:t>
            </w:r>
          </w:p>
        </w:tc>
        <w:tc>
          <w:tcPr>
            <w:tcW w:w="1198" w:type="dxa"/>
            <w:noWrap/>
          </w:tcPr>
          <w:p w14:paraId="2DE90627">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[1,1.5]</w:t>
            </w:r>
          </w:p>
        </w:tc>
        <w:tc>
          <w:tcPr>
            <w:tcW w:w="1198" w:type="dxa"/>
            <w:noWrap/>
          </w:tcPr>
          <w:p w14:paraId="7AD197B1">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[1.5，3]</w:t>
            </w:r>
          </w:p>
        </w:tc>
      </w:tr>
      <w:tr w14:paraId="34EC7091">
        <w:tblPrEx>
          <w:tblCellMar>
            <w:top w:w="0" w:type="dxa"/>
            <w:left w:w="108" w:type="dxa"/>
            <w:bottom w:w="0" w:type="dxa"/>
            <w:right w:w="108" w:type="dxa"/>
          </w:tblCellMar>
        </w:tblPrEx>
        <w:trPr>
          <w:trHeight w:val="624" w:hRule="atLeast"/>
          <w:jc w:val="center"/>
        </w:trPr>
        <w:tc>
          <w:tcPr>
            <w:tcW w:w="2410" w:type="dxa"/>
            <w:tcBorders>
              <w:right w:val="single" w:color="7E7E7E" w:themeColor="text1" w:themeTint="80" w:sz="4" w:space="0"/>
              <w:insideV w:val="single" w:sz="4" w:space="0"/>
            </w:tcBorders>
            <w:shd w:val="clear" w:color="auto" w:fill="FFFFFF" w:themeFill="background1"/>
            <w:noWrap/>
          </w:tcPr>
          <w:p w14:paraId="551CD442">
            <w:pPr>
              <w:widowControl/>
              <w:spacing w:line="360" w:lineRule="auto"/>
              <w:jc w:val="center"/>
              <w:rPr>
                <w:rFonts w:ascii="华文仿宋" w:hAnsi="华文仿宋" w:eastAsia="华文仿宋" w:cs="宋体"/>
                <w:i/>
                <w:iCs/>
                <w:color w:val="000000"/>
                <w:kern w:val="0"/>
                <w:sz w:val="24"/>
              </w:rPr>
            </w:pPr>
            <w:r>
              <w:rPr>
                <w:rFonts w:hint="eastAsia" w:ascii="华文仿宋" w:hAnsi="华文仿宋" w:eastAsia="华文仿宋" w:cs="宋体"/>
                <w:i w:val="0"/>
                <w:iCs w:val="0"/>
                <w:color w:val="000000"/>
                <w:kern w:val="0"/>
                <w:sz w:val="24"/>
              </w:rPr>
              <w:t>客运量与第三产业发展协调指数</w:t>
            </w:r>
          </w:p>
        </w:tc>
        <w:tc>
          <w:tcPr>
            <w:tcW w:w="1276" w:type="dxa"/>
            <w:shd w:val="clear" w:color="auto" w:fill="F1F1F1" w:themeFill="background1" w:themeFillShade="F2"/>
            <w:noWrap/>
          </w:tcPr>
          <w:p w14:paraId="3E038C03">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[-2，-0.7]</w:t>
            </w:r>
          </w:p>
        </w:tc>
        <w:tc>
          <w:tcPr>
            <w:tcW w:w="1276" w:type="dxa"/>
            <w:shd w:val="clear" w:color="auto" w:fill="F1F1F1" w:themeFill="background1" w:themeFillShade="F2"/>
            <w:noWrap/>
          </w:tcPr>
          <w:p w14:paraId="3CAF8A52">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[-0.7,-0.1]</w:t>
            </w:r>
          </w:p>
        </w:tc>
        <w:tc>
          <w:tcPr>
            <w:tcW w:w="1320" w:type="dxa"/>
            <w:shd w:val="clear" w:color="auto" w:fill="F1F1F1" w:themeFill="background1" w:themeFillShade="F2"/>
            <w:noWrap/>
          </w:tcPr>
          <w:p w14:paraId="3B88AA15">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[-0.1,0.3]</w:t>
            </w:r>
          </w:p>
        </w:tc>
        <w:tc>
          <w:tcPr>
            <w:tcW w:w="1198" w:type="dxa"/>
            <w:shd w:val="clear" w:color="auto" w:fill="F1F1F1" w:themeFill="background1" w:themeFillShade="F2"/>
            <w:noWrap/>
          </w:tcPr>
          <w:p w14:paraId="0CABA583">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[0.3,0.5]</w:t>
            </w:r>
          </w:p>
        </w:tc>
        <w:tc>
          <w:tcPr>
            <w:tcW w:w="1198" w:type="dxa"/>
            <w:shd w:val="clear" w:color="auto" w:fill="F1F1F1" w:themeFill="background1" w:themeFillShade="F2"/>
            <w:noWrap/>
          </w:tcPr>
          <w:p w14:paraId="7E355A2A">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[0.5，2]</w:t>
            </w:r>
          </w:p>
        </w:tc>
      </w:tr>
      <w:tr w14:paraId="18F276EE">
        <w:tblPrEx>
          <w:tblCellMar>
            <w:top w:w="0" w:type="dxa"/>
            <w:left w:w="108" w:type="dxa"/>
            <w:bottom w:w="0" w:type="dxa"/>
            <w:right w:w="108" w:type="dxa"/>
          </w:tblCellMar>
        </w:tblPrEx>
        <w:trPr>
          <w:trHeight w:val="453" w:hRule="atLeast"/>
          <w:jc w:val="center"/>
        </w:trPr>
        <w:tc>
          <w:tcPr>
            <w:tcW w:w="2410" w:type="dxa"/>
            <w:tcBorders>
              <w:right w:val="single" w:color="7E7E7E" w:themeColor="text1" w:themeTint="80" w:sz="4" w:space="0"/>
              <w:insideV w:val="single" w:sz="4" w:space="0"/>
            </w:tcBorders>
            <w:shd w:val="clear" w:color="auto" w:fill="FFFFFF" w:themeFill="background1"/>
            <w:noWrap/>
          </w:tcPr>
          <w:p w14:paraId="06EDFEA8">
            <w:pPr>
              <w:widowControl/>
              <w:spacing w:line="360" w:lineRule="auto"/>
              <w:jc w:val="center"/>
              <w:rPr>
                <w:rFonts w:ascii="华文仿宋" w:hAnsi="华文仿宋" w:eastAsia="华文仿宋" w:cs="宋体"/>
                <w:i/>
                <w:iCs/>
                <w:color w:val="000000"/>
                <w:kern w:val="0"/>
                <w:sz w:val="24"/>
              </w:rPr>
            </w:pPr>
            <w:r>
              <w:rPr>
                <w:rFonts w:hint="eastAsia" w:ascii="华文仿宋" w:hAnsi="华文仿宋" w:eastAsia="华文仿宋" w:cs="宋体"/>
                <w:i w:val="0"/>
                <w:iCs w:val="0"/>
                <w:color w:val="000000"/>
                <w:kern w:val="0"/>
                <w:sz w:val="24"/>
              </w:rPr>
              <w:t>客运平均运距</w:t>
            </w:r>
          </w:p>
        </w:tc>
        <w:tc>
          <w:tcPr>
            <w:tcW w:w="1276" w:type="dxa"/>
            <w:noWrap/>
          </w:tcPr>
          <w:p w14:paraId="166518FE">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[0,10]</w:t>
            </w:r>
          </w:p>
        </w:tc>
        <w:tc>
          <w:tcPr>
            <w:tcW w:w="1276" w:type="dxa"/>
            <w:noWrap/>
          </w:tcPr>
          <w:p w14:paraId="4045F990">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[10,13]</w:t>
            </w:r>
          </w:p>
        </w:tc>
        <w:tc>
          <w:tcPr>
            <w:tcW w:w="1320" w:type="dxa"/>
            <w:noWrap/>
          </w:tcPr>
          <w:p w14:paraId="1004AC76">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[13,16]</w:t>
            </w:r>
          </w:p>
        </w:tc>
        <w:tc>
          <w:tcPr>
            <w:tcW w:w="1198" w:type="dxa"/>
            <w:noWrap/>
          </w:tcPr>
          <w:p w14:paraId="18E40CC7">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[16,20]</w:t>
            </w:r>
          </w:p>
        </w:tc>
        <w:tc>
          <w:tcPr>
            <w:tcW w:w="1198" w:type="dxa"/>
            <w:noWrap/>
          </w:tcPr>
          <w:p w14:paraId="513D5A46">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[20,30]</w:t>
            </w:r>
          </w:p>
        </w:tc>
      </w:tr>
      <w:tr w14:paraId="03F8E5B5">
        <w:tblPrEx>
          <w:tblCellMar>
            <w:top w:w="0" w:type="dxa"/>
            <w:left w:w="108" w:type="dxa"/>
            <w:bottom w:w="0" w:type="dxa"/>
            <w:right w:w="108" w:type="dxa"/>
          </w:tblCellMar>
        </w:tblPrEx>
        <w:trPr>
          <w:trHeight w:val="431" w:hRule="atLeast"/>
          <w:jc w:val="center"/>
        </w:trPr>
        <w:tc>
          <w:tcPr>
            <w:tcW w:w="2410" w:type="dxa"/>
            <w:tcBorders>
              <w:right w:val="single" w:color="7E7E7E" w:themeColor="text1" w:themeTint="80" w:sz="4" w:space="0"/>
              <w:insideV w:val="single" w:sz="4" w:space="0"/>
            </w:tcBorders>
            <w:shd w:val="clear" w:color="auto" w:fill="FFFFFF" w:themeFill="background1"/>
            <w:noWrap/>
          </w:tcPr>
          <w:p w14:paraId="5E5AED28">
            <w:pPr>
              <w:widowControl/>
              <w:spacing w:line="360" w:lineRule="auto"/>
              <w:jc w:val="center"/>
              <w:rPr>
                <w:rFonts w:ascii="华文仿宋" w:hAnsi="华文仿宋" w:eastAsia="华文仿宋" w:cs="宋体"/>
                <w:i/>
                <w:iCs/>
                <w:color w:val="000000"/>
                <w:kern w:val="0"/>
                <w:sz w:val="24"/>
              </w:rPr>
            </w:pPr>
            <w:r>
              <w:rPr>
                <w:rFonts w:hint="eastAsia" w:ascii="华文仿宋" w:hAnsi="华文仿宋" w:eastAsia="华文仿宋" w:cs="宋体"/>
                <w:i w:val="0"/>
                <w:iCs w:val="0"/>
                <w:color w:val="000000"/>
                <w:kern w:val="0"/>
                <w:sz w:val="24"/>
              </w:rPr>
              <w:t>货运平均运距</w:t>
            </w:r>
          </w:p>
        </w:tc>
        <w:tc>
          <w:tcPr>
            <w:tcW w:w="1276" w:type="dxa"/>
            <w:shd w:val="clear" w:color="auto" w:fill="F1F1F1" w:themeFill="background1" w:themeFillShade="F2"/>
            <w:noWrap/>
          </w:tcPr>
          <w:p w14:paraId="355FC850">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[10,20]</w:t>
            </w:r>
          </w:p>
        </w:tc>
        <w:tc>
          <w:tcPr>
            <w:tcW w:w="1276" w:type="dxa"/>
            <w:shd w:val="clear" w:color="auto" w:fill="F1F1F1" w:themeFill="background1" w:themeFillShade="F2"/>
            <w:noWrap/>
          </w:tcPr>
          <w:p w14:paraId="5A6C942A">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[20,30]</w:t>
            </w:r>
          </w:p>
        </w:tc>
        <w:tc>
          <w:tcPr>
            <w:tcW w:w="1320" w:type="dxa"/>
            <w:shd w:val="clear" w:color="auto" w:fill="F1F1F1" w:themeFill="background1" w:themeFillShade="F2"/>
            <w:noWrap/>
          </w:tcPr>
          <w:p w14:paraId="2416432B">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[30,40]</w:t>
            </w:r>
          </w:p>
        </w:tc>
        <w:tc>
          <w:tcPr>
            <w:tcW w:w="1198" w:type="dxa"/>
            <w:shd w:val="clear" w:color="auto" w:fill="F1F1F1" w:themeFill="background1" w:themeFillShade="F2"/>
            <w:noWrap/>
          </w:tcPr>
          <w:p w14:paraId="0DA6FC28">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[40,55]</w:t>
            </w:r>
          </w:p>
        </w:tc>
        <w:tc>
          <w:tcPr>
            <w:tcW w:w="1198" w:type="dxa"/>
            <w:shd w:val="clear" w:color="auto" w:fill="F1F1F1" w:themeFill="background1" w:themeFillShade="F2"/>
            <w:noWrap/>
          </w:tcPr>
          <w:p w14:paraId="4B55794E">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[55,100]</w:t>
            </w:r>
          </w:p>
        </w:tc>
      </w:tr>
      <w:tr w14:paraId="4E73D850">
        <w:tblPrEx>
          <w:tblCellMar>
            <w:top w:w="0" w:type="dxa"/>
            <w:left w:w="108" w:type="dxa"/>
            <w:bottom w:w="0" w:type="dxa"/>
            <w:right w:w="108" w:type="dxa"/>
          </w:tblCellMar>
        </w:tblPrEx>
        <w:trPr>
          <w:trHeight w:val="422" w:hRule="atLeast"/>
          <w:jc w:val="center"/>
        </w:trPr>
        <w:tc>
          <w:tcPr>
            <w:tcW w:w="2410" w:type="dxa"/>
            <w:tcBorders>
              <w:right w:val="single" w:color="7E7E7E" w:themeColor="text1" w:themeTint="80" w:sz="4" w:space="0"/>
              <w:insideV w:val="single" w:sz="4" w:space="0"/>
            </w:tcBorders>
            <w:shd w:val="clear" w:color="auto" w:fill="FFFFFF" w:themeFill="background1"/>
            <w:noWrap/>
          </w:tcPr>
          <w:p w14:paraId="10E7E856">
            <w:pPr>
              <w:widowControl/>
              <w:spacing w:line="360" w:lineRule="auto"/>
              <w:jc w:val="center"/>
              <w:rPr>
                <w:rFonts w:ascii="华文仿宋" w:hAnsi="华文仿宋" w:eastAsia="华文仿宋" w:cs="宋体"/>
                <w:i/>
                <w:iCs/>
                <w:color w:val="000000"/>
                <w:kern w:val="0"/>
                <w:sz w:val="24"/>
              </w:rPr>
            </w:pPr>
            <w:r>
              <w:rPr>
                <w:rFonts w:hint="eastAsia" w:ascii="华文仿宋" w:hAnsi="华文仿宋" w:eastAsia="华文仿宋" w:cs="宋体"/>
                <w:i w:val="0"/>
                <w:iCs w:val="0"/>
                <w:color w:val="000000"/>
                <w:kern w:val="0"/>
                <w:sz w:val="24"/>
              </w:rPr>
              <w:t>运网连通度</w:t>
            </w:r>
          </w:p>
        </w:tc>
        <w:tc>
          <w:tcPr>
            <w:tcW w:w="1276" w:type="dxa"/>
            <w:noWrap/>
          </w:tcPr>
          <w:p w14:paraId="632F00B1">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[0,4]</w:t>
            </w:r>
          </w:p>
        </w:tc>
        <w:tc>
          <w:tcPr>
            <w:tcW w:w="1276" w:type="dxa"/>
            <w:noWrap/>
          </w:tcPr>
          <w:p w14:paraId="2B5D7B2E">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[4,6]</w:t>
            </w:r>
          </w:p>
        </w:tc>
        <w:tc>
          <w:tcPr>
            <w:tcW w:w="1320" w:type="dxa"/>
            <w:noWrap/>
          </w:tcPr>
          <w:p w14:paraId="7C2DD43A">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[6,8]</w:t>
            </w:r>
          </w:p>
        </w:tc>
        <w:tc>
          <w:tcPr>
            <w:tcW w:w="1198" w:type="dxa"/>
            <w:noWrap/>
          </w:tcPr>
          <w:p w14:paraId="46AB81C3">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[8,10]</w:t>
            </w:r>
          </w:p>
        </w:tc>
        <w:tc>
          <w:tcPr>
            <w:tcW w:w="1198" w:type="dxa"/>
            <w:noWrap/>
          </w:tcPr>
          <w:p w14:paraId="780DDB14">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[10,15]</w:t>
            </w:r>
          </w:p>
        </w:tc>
      </w:tr>
      <w:tr w14:paraId="04632DB7">
        <w:tblPrEx>
          <w:tblCellMar>
            <w:top w:w="0" w:type="dxa"/>
            <w:left w:w="108" w:type="dxa"/>
            <w:bottom w:w="0" w:type="dxa"/>
            <w:right w:w="108" w:type="dxa"/>
          </w:tblCellMar>
        </w:tblPrEx>
        <w:trPr>
          <w:trHeight w:val="415" w:hRule="atLeast"/>
          <w:jc w:val="center"/>
        </w:trPr>
        <w:tc>
          <w:tcPr>
            <w:tcW w:w="2410" w:type="dxa"/>
            <w:tcBorders>
              <w:right w:val="single" w:color="7E7E7E" w:themeColor="text1" w:themeTint="80" w:sz="4" w:space="0"/>
              <w:insideV w:val="single" w:sz="4" w:space="0"/>
            </w:tcBorders>
            <w:shd w:val="clear" w:color="auto" w:fill="FFFFFF" w:themeFill="background1"/>
            <w:noWrap/>
          </w:tcPr>
          <w:p w14:paraId="55F2FB39">
            <w:pPr>
              <w:widowControl/>
              <w:spacing w:line="360" w:lineRule="auto"/>
              <w:jc w:val="center"/>
              <w:rPr>
                <w:rFonts w:ascii="华文仿宋" w:hAnsi="华文仿宋" w:eastAsia="华文仿宋" w:cs="宋体"/>
                <w:i/>
                <w:iCs/>
                <w:color w:val="000000"/>
                <w:kern w:val="0"/>
                <w:sz w:val="24"/>
              </w:rPr>
            </w:pPr>
            <w:r>
              <w:rPr>
                <w:rFonts w:hint="eastAsia" w:ascii="华文仿宋" w:hAnsi="华文仿宋" w:eastAsia="华文仿宋" w:cs="宋体"/>
                <w:i w:val="0"/>
                <w:iCs w:val="0"/>
                <w:color w:val="000000"/>
                <w:kern w:val="0"/>
                <w:sz w:val="24"/>
              </w:rPr>
              <w:t>万车事故率</w:t>
            </w:r>
          </w:p>
        </w:tc>
        <w:tc>
          <w:tcPr>
            <w:tcW w:w="1276" w:type="dxa"/>
            <w:shd w:val="clear" w:color="auto" w:fill="F1F1F1" w:themeFill="background1" w:themeFillShade="F2"/>
            <w:noWrap/>
          </w:tcPr>
          <w:p w14:paraId="22D08AC3">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[17,32]</w:t>
            </w:r>
          </w:p>
        </w:tc>
        <w:tc>
          <w:tcPr>
            <w:tcW w:w="1276" w:type="dxa"/>
            <w:shd w:val="clear" w:color="auto" w:fill="F1F1F1" w:themeFill="background1" w:themeFillShade="F2"/>
            <w:noWrap/>
          </w:tcPr>
          <w:p w14:paraId="320E99C4">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[13,17]</w:t>
            </w:r>
          </w:p>
        </w:tc>
        <w:tc>
          <w:tcPr>
            <w:tcW w:w="1320" w:type="dxa"/>
            <w:shd w:val="clear" w:color="auto" w:fill="F1F1F1" w:themeFill="background1" w:themeFillShade="F2"/>
            <w:noWrap/>
          </w:tcPr>
          <w:p w14:paraId="71969FCF">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[10,13]</w:t>
            </w:r>
          </w:p>
        </w:tc>
        <w:tc>
          <w:tcPr>
            <w:tcW w:w="1198" w:type="dxa"/>
            <w:shd w:val="clear" w:color="auto" w:fill="F1F1F1" w:themeFill="background1" w:themeFillShade="F2"/>
            <w:noWrap/>
          </w:tcPr>
          <w:p w14:paraId="019C3180">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[7,10]</w:t>
            </w:r>
          </w:p>
        </w:tc>
        <w:tc>
          <w:tcPr>
            <w:tcW w:w="1198" w:type="dxa"/>
            <w:shd w:val="clear" w:color="auto" w:fill="F1F1F1" w:themeFill="background1" w:themeFillShade="F2"/>
            <w:noWrap/>
          </w:tcPr>
          <w:p w14:paraId="1D0D95A3">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[0,7]</w:t>
            </w:r>
          </w:p>
        </w:tc>
      </w:tr>
      <w:tr w14:paraId="2002D42F">
        <w:tblPrEx>
          <w:tblCellMar>
            <w:top w:w="0" w:type="dxa"/>
            <w:left w:w="108" w:type="dxa"/>
            <w:bottom w:w="0" w:type="dxa"/>
            <w:right w:w="108" w:type="dxa"/>
          </w:tblCellMar>
        </w:tblPrEx>
        <w:trPr>
          <w:trHeight w:val="624" w:hRule="atLeast"/>
          <w:jc w:val="center"/>
        </w:trPr>
        <w:tc>
          <w:tcPr>
            <w:tcW w:w="2410" w:type="dxa"/>
            <w:tcBorders>
              <w:right w:val="single" w:color="7E7E7E" w:themeColor="text1" w:themeTint="80" w:sz="4" w:space="0"/>
              <w:insideV w:val="single" w:sz="4" w:space="0"/>
            </w:tcBorders>
            <w:shd w:val="clear" w:color="auto" w:fill="FFFFFF" w:themeFill="background1"/>
            <w:noWrap/>
          </w:tcPr>
          <w:p w14:paraId="4B99812E">
            <w:pPr>
              <w:widowControl/>
              <w:spacing w:line="360" w:lineRule="auto"/>
              <w:jc w:val="center"/>
              <w:rPr>
                <w:rFonts w:ascii="华文仿宋" w:hAnsi="华文仿宋" w:eastAsia="华文仿宋" w:cs="宋体"/>
                <w:i/>
                <w:iCs/>
                <w:color w:val="000000"/>
                <w:kern w:val="0"/>
                <w:sz w:val="24"/>
              </w:rPr>
            </w:pPr>
            <w:r>
              <w:rPr>
                <w:rFonts w:hint="eastAsia" w:ascii="华文仿宋" w:hAnsi="华文仿宋" w:eastAsia="华文仿宋" w:cs="宋体"/>
                <w:i w:val="0"/>
                <w:iCs w:val="0"/>
                <w:color w:val="000000"/>
                <w:kern w:val="0"/>
                <w:sz w:val="24"/>
              </w:rPr>
              <w:t>万车死亡率</w:t>
            </w:r>
          </w:p>
        </w:tc>
        <w:tc>
          <w:tcPr>
            <w:tcW w:w="1276" w:type="dxa"/>
            <w:noWrap/>
          </w:tcPr>
          <w:p w14:paraId="4638E0C1">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[4.5,8]</w:t>
            </w:r>
          </w:p>
        </w:tc>
        <w:tc>
          <w:tcPr>
            <w:tcW w:w="1276" w:type="dxa"/>
            <w:noWrap/>
          </w:tcPr>
          <w:p w14:paraId="666EB81A">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[3.2,4.5]</w:t>
            </w:r>
          </w:p>
        </w:tc>
        <w:tc>
          <w:tcPr>
            <w:tcW w:w="1320" w:type="dxa"/>
            <w:noWrap/>
          </w:tcPr>
          <w:p w14:paraId="38EDE436">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[2.8,3.2]</w:t>
            </w:r>
          </w:p>
        </w:tc>
        <w:tc>
          <w:tcPr>
            <w:tcW w:w="1198" w:type="dxa"/>
            <w:noWrap/>
          </w:tcPr>
          <w:p w14:paraId="45D6EA6C">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[2.3,2.8]</w:t>
            </w:r>
          </w:p>
        </w:tc>
        <w:tc>
          <w:tcPr>
            <w:tcW w:w="1198" w:type="dxa"/>
            <w:noWrap/>
          </w:tcPr>
          <w:p w14:paraId="17BC196C">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[0,2.3]</w:t>
            </w:r>
          </w:p>
        </w:tc>
      </w:tr>
    </w:tbl>
    <w:p w14:paraId="0FF2804F">
      <w:pPr>
        <w:spacing w:line="360" w:lineRule="auto"/>
        <w:rPr>
          <w:rFonts w:ascii="华文仿宋" w:hAnsi="华文仿宋" w:eastAsia="华文仿宋"/>
        </w:rPr>
      </w:pPr>
    </w:p>
    <w:p w14:paraId="1C6062B1">
      <w:pPr>
        <w:spacing w:line="360" w:lineRule="auto"/>
        <w:ind w:firstLine="480"/>
        <w:rPr>
          <w:rFonts w:ascii="华文仿宋" w:hAnsi="华文仿宋" w:eastAsia="华文仿宋"/>
          <w:sz w:val="28"/>
          <w:szCs w:val="28"/>
        </w:rPr>
      </w:pPr>
      <w:r>
        <w:rPr>
          <w:rFonts w:hint="eastAsia" w:ascii="华文仿宋" w:hAnsi="华文仿宋" w:eastAsia="华文仿宋"/>
          <w:sz w:val="28"/>
          <w:szCs w:val="28"/>
        </w:rPr>
        <w:t>根据以上多级可拓评价方法，分别计算二级评价和一级评价，得到经济适应性评价指标关联度，如表2-7和表2-8所示。</w:t>
      </w:r>
    </w:p>
    <w:p w14:paraId="493F0226">
      <w:pPr>
        <w:spacing w:line="360" w:lineRule="auto"/>
        <w:ind w:firstLine="360"/>
        <w:jc w:val="center"/>
        <w:rPr>
          <w:rFonts w:ascii="华文仿宋" w:hAnsi="华文仿宋" w:eastAsia="华文仿宋"/>
          <w:sz w:val="18"/>
          <w:szCs w:val="20"/>
        </w:rPr>
      </w:pPr>
    </w:p>
    <w:p w14:paraId="2A67B34F">
      <w:pPr>
        <w:spacing w:line="360" w:lineRule="auto"/>
        <w:ind w:firstLine="480"/>
        <w:jc w:val="center"/>
        <w:rPr>
          <w:rFonts w:ascii="华文仿宋" w:hAnsi="华文仿宋" w:eastAsia="华文仿宋"/>
          <w:b/>
          <w:bCs/>
          <w:szCs w:val="28"/>
        </w:rPr>
      </w:pPr>
      <w:r>
        <w:rPr>
          <w:rFonts w:hint="eastAsia" w:ascii="华文仿宋" w:hAnsi="华文仿宋" w:eastAsia="华文仿宋"/>
          <w:b/>
          <w:bCs/>
          <w:szCs w:val="28"/>
        </w:rPr>
        <w:t>表2-7</w:t>
      </w:r>
      <w:r>
        <w:rPr>
          <w:rFonts w:ascii="华文仿宋" w:hAnsi="华文仿宋" w:eastAsia="华文仿宋"/>
          <w:b/>
          <w:bCs/>
          <w:szCs w:val="28"/>
        </w:rPr>
        <w:t xml:space="preserve"> </w:t>
      </w:r>
      <w:r>
        <w:rPr>
          <w:rFonts w:hint="eastAsia" w:ascii="华文仿宋" w:hAnsi="华文仿宋" w:eastAsia="华文仿宋"/>
          <w:b/>
          <w:bCs/>
          <w:szCs w:val="28"/>
        </w:rPr>
        <w:t>经济适应性评价指标关联度计算结果</w:t>
      </w:r>
    </w:p>
    <w:p w14:paraId="0F751F08">
      <w:pPr>
        <w:spacing w:line="360" w:lineRule="auto"/>
        <w:rPr>
          <w:rFonts w:ascii="华文仿宋" w:hAnsi="华文仿宋" w:eastAsia="华文仿宋"/>
          <w:b/>
          <w:bCs/>
          <w:szCs w:val="28"/>
        </w:rPr>
      </w:pPr>
    </w:p>
    <w:tbl>
      <w:tblPr>
        <w:tblStyle w:val="16"/>
        <w:tblW w:w="0" w:type="auto"/>
        <w:jc w:val="center"/>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481"/>
        <w:gridCol w:w="594"/>
        <w:gridCol w:w="707"/>
        <w:gridCol w:w="907"/>
        <w:gridCol w:w="832"/>
        <w:gridCol w:w="794"/>
        <w:gridCol w:w="832"/>
        <w:gridCol w:w="832"/>
      </w:tblGrid>
      <w:tr w14:paraId="1FB90D4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0" w:type="auto"/>
            <w:vMerge w:val="restart"/>
            <w:tcBorders>
              <w:bottom w:val="single" w:color="7E7E7E" w:themeColor="text1" w:themeTint="80" w:sz="4" w:space="0"/>
              <w:insideH w:val="single" w:sz="4" w:space="0"/>
            </w:tcBorders>
            <w:noWrap/>
          </w:tcPr>
          <w:p w14:paraId="59C9E5AA">
            <w:pPr>
              <w:widowControl/>
              <w:spacing w:line="360" w:lineRule="auto"/>
              <w:jc w:val="center"/>
              <w:rPr>
                <w:rFonts w:ascii="华文仿宋" w:hAnsi="华文仿宋" w:eastAsia="华文仿宋" w:cs="宋体"/>
                <w:b w:val="0"/>
                <w:bCs w:val="0"/>
                <w:color w:val="000000"/>
                <w:kern w:val="0"/>
                <w:sz w:val="24"/>
              </w:rPr>
            </w:pPr>
            <w:r>
              <w:rPr>
                <w:rFonts w:hint="eastAsia" w:ascii="华文仿宋" w:hAnsi="华文仿宋" w:eastAsia="华文仿宋" w:cs="宋体"/>
                <w:b/>
                <w:bCs/>
                <w:color w:val="000000"/>
                <w:kern w:val="0"/>
                <w:sz w:val="24"/>
              </w:rPr>
              <w:t>目标层N</w:t>
            </w:r>
          </w:p>
        </w:tc>
        <w:tc>
          <w:tcPr>
            <w:tcW w:w="0" w:type="auto"/>
            <w:vMerge w:val="restart"/>
            <w:tcBorders>
              <w:bottom w:val="single" w:color="7E7E7E" w:themeColor="text1" w:themeTint="80" w:sz="4" w:space="0"/>
              <w:insideH w:val="single" w:sz="4" w:space="0"/>
            </w:tcBorders>
            <w:noWrap/>
          </w:tcPr>
          <w:p w14:paraId="20FBEB13">
            <w:pPr>
              <w:widowControl/>
              <w:spacing w:line="360" w:lineRule="auto"/>
              <w:jc w:val="center"/>
              <w:rPr>
                <w:rFonts w:ascii="华文仿宋" w:hAnsi="华文仿宋" w:eastAsia="华文仿宋" w:cs="宋体"/>
                <w:b w:val="0"/>
                <w:bCs w:val="0"/>
                <w:color w:val="000000"/>
                <w:kern w:val="0"/>
                <w:sz w:val="24"/>
              </w:rPr>
            </w:pPr>
            <w:r>
              <w:rPr>
                <w:rFonts w:hint="eastAsia" w:ascii="华文仿宋" w:hAnsi="华文仿宋" w:eastAsia="华文仿宋" w:cs="宋体"/>
                <w:b/>
                <w:bCs/>
                <w:color w:val="000000"/>
                <w:kern w:val="0"/>
                <w:sz w:val="24"/>
              </w:rPr>
              <w:t>Ci</w:t>
            </w:r>
          </w:p>
        </w:tc>
        <w:tc>
          <w:tcPr>
            <w:tcW w:w="0" w:type="auto"/>
            <w:vMerge w:val="restart"/>
            <w:tcBorders>
              <w:bottom w:val="single" w:color="7E7E7E" w:themeColor="text1" w:themeTint="80" w:sz="4" w:space="0"/>
              <w:insideH w:val="single" w:sz="4" w:space="0"/>
            </w:tcBorders>
          </w:tcPr>
          <w:p w14:paraId="35445400">
            <w:pPr>
              <w:widowControl/>
              <w:spacing w:line="360" w:lineRule="auto"/>
              <w:jc w:val="center"/>
              <w:rPr>
                <w:rFonts w:ascii="华文仿宋" w:hAnsi="华文仿宋" w:eastAsia="华文仿宋" w:cs="宋体"/>
                <w:b w:val="0"/>
                <w:bCs w:val="0"/>
                <w:color w:val="000000"/>
                <w:kern w:val="0"/>
                <w:sz w:val="24"/>
              </w:rPr>
            </w:pPr>
            <w:r>
              <w:rPr>
                <w:rFonts w:hint="eastAsia" w:ascii="华文仿宋" w:hAnsi="华文仿宋" w:eastAsia="华文仿宋" w:cs="宋体"/>
                <w:b/>
                <w:bCs/>
                <w:color w:val="000000"/>
                <w:kern w:val="0"/>
                <w:sz w:val="24"/>
              </w:rPr>
              <w:t>Cij</w:t>
            </w:r>
          </w:p>
        </w:tc>
        <w:tc>
          <w:tcPr>
            <w:tcW w:w="0" w:type="auto"/>
            <w:vMerge w:val="restart"/>
            <w:tcBorders>
              <w:bottom w:val="single" w:color="7E7E7E" w:themeColor="text1" w:themeTint="80" w:sz="4" w:space="0"/>
              <w:insideH w:val="single" w:sz="4" w:space="0"/>
            </w:tcBorders>
            <w:noWrap/>
          </w:tcPr>
          <w:p w14:paraId="7CB4937B">
            <w:pPr>
              <w:widowControl/>
              <w:spacing w:line="360" w:lineRule="auto"/>
              <w:jc w:val="center"/>
              <w:rPr>
                <w:rFonts w:ascii="华文仿宋" w:hAnsi="华文仿宋" w:eastAsia="华文仿宋" w:cs="宋体"/>
                <w:b w:val="0"/>
                <w:bCs w:val="0"/>
                <w:color w:val="000000"/>
                <w:kern w:val="0"/>
                <w:sz w:val="24"/>
              </w:rPr>
            </w:pPr>
            <w:r>
              <w:rPr>
                <w:rFonts w:hint="eastAsia" w:ascii="华文仿宋" w:hAnsi="华文仿宋" w:eastAsia="华文仿宋" w:cs="宋体"/>
                <w:b/>
                <w:bCs/>
                <w:color w:val="000000"/>
                <w:kern w:val="0"/>
                <w:sz w:val="24"/>
              </w:rPr>
              <w:t>Cijk</w:t>
            </w:r>
          </w:p>
        </w:tc>
        <w:tc>
          <w:tcPr>
            <w:tcW w:w="0" w:type="auto"/>
            <w:gridSpan w:val="5"/>
            <w:tcBorders>
              <w:bottom w:val="single" w:color="7E7E7E" w:themeColor="text1" w:themeTint="80" w:sz="4" w:space="0"/>
              <w:insideH w:val="single" w:sz="4" w:space="0"/>
            </w:tcBorders>
            <w:noWrap/>
          </w:tcPr>
          <w:p w14:paraId="10FB0D4B">
            <w:pPr>
              <w:widowControl/>
              <w:spacing w:line="360" w:lineRule="auto"/>
              <w:jc w:val="center"/>
              <w:rPr>
                <w:rFonts w:ascii="华文仿宋" w:hAnsi="华文仿宋" w:eastAsia="华文仿宋" w:cs="宋体"/>
                <w:b w:val="0"/>
                <w:bCs w:val="0"/>
                <w:color w:val="000000"/>
                <w:kern w:val="0"/>
                <w:sz w:val="24"/>
              </w:rPr>
            </w:pPr>
            <w:r>
              <w:rPr>
                <w:rFonts w:hint="eastAsia" w:ascii="华文仿宋" w:hAnsi="华文仿宋" w:eastAsia="华文仿宋" w:cs="宋体"/>
                <w:b/>
                <w:bCs/>
                <w:color w:val="000000"/>
                <w:kern w:val="0"/>
                <w:sz w:val="24"/>
              </w:rPr>
              <w:t>关联度k(j)</w:t>
            </w:r>
          </w:p>
        </w:tc>
      </w:tr>
      <w:tr w14:paraId="6148FA4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0" w:type="auto"/>
            <w:vMerge w:val="continue"/>
            <w:tcBorders>
              <w:top w:val="single" w:color="7E7E7E" w:themeColor="text1" w:themeTint="80" w:sz="4" w:space="0"/>
              <w:bottom w:val="single" w:color="7E7E7E" w:themeColor="text1" w:themeTint="80" w:sz="4" w:space="0"/>
            </w:tcBorders>
          </w:tcPr>
          <w:p w14:paraId="6BEE90C5">
            <w:pPr>
              <w:widowControl/>
              <w:spacing w:line="360" w:lineRule="auto"/>
              <w:jc w:val="left"/>
              <w:rPr>
                <w:rFonts w:ascii="华文仿宋" w:hAnsi="华文仿宋" w:eastAsia="华文仿宋" w:cs="宋体"/>
                <w:b w:val="0"/>
                <w:bCs w:val="0"/>
                <w:color w:val="000000"/>
                <w:kern w:val="0"/>
                <w:sz w:val="24"/>
              </w:rPr>
            </w:pPr>
          </w:p>
        </w:tc>
        <w:tc>
          <w:tcPr>
            <w:tcW w:w="0" w:type="auto"/>
            <w:vMerge w:val="continue"/>
            <w:tcBorders>
              <w:top w:val="single" w:color="7E7E7E" w:themeColor="text1" w:themeTint="80" w:sz="4" w:space="0"/>
              <w:bottom w:val="single" w:color="7E7E7E" w:themeColor="text1" w:themeTint="80" w:sz="4" w:space="0"/>
            </w:tcBorders>
          </w:tcPr>
          <w:p w14:paraId="600C59E0">
            <w:pPr>
              <w:widowControl/>
              <w:spacing w:line="360" w:lineRule="auto"/>
              <w:jc w:val="left"/>
              <w:rPr>
                <w:rFonts w:ascii="华文仿宋" w:hAnsi="华文仿宋" w:eastAsia="华文仿宋" w:cs="宋体"/>
                <w:color w:val="000000"/>
                <w:kern w:val="0"/>
                <w:sz w:val="24"/>
              </w:rPr>
            </w:pPr>
          </w:p>
        </w:tc>
        <w:tc>
          <w:tcPr>
            <w:tcW w:w="0" w:type="auto"/>
            <w:vMerge w:val="continue"/>
            <w:tcBorders>
              <w:top w:val="single" w:color="7E7E7E" w:themeColor="text1" w:themeTint="80" w:sz="4" w:space="0"/>
              <w:bottom w:val="single" w:color="7E7E7E" w:themeColor="text1" w:themeTint="80" w:sz="4" w:space="0"/>
            </w:tcBorders>
          </w:tcPr>
          <w:p w14:paraId="68E18655">
            <w:pPr>
              <w:widowControl/>
              <w:spacing w:line="360" w:lineRule="auto"/>
              <w:jc w:val="left"/>
              <w:rPr>
                <w:rFonts w:ascii="华文仿宋" w:hAnsi="华文仿宋" w:eastAsia="华文仿宋" w:cs="宋体"/>
                <w:color w:val="000000"/>
                <w:kern w:val="0"/>
                <w:sz w:val="24"/>
              </w:rPr>
            </w:pPr>
          </w:p>
        </w:tc>
        <w:tc>
          <w:tcPr>
            <w:tcW w:w="0" w:type="auto"/>
            <w:vMerge w:val="continue"/>
            <w:tcBorders>
              <w:top w:val="single" w:color="7E7E7E" w:themeColor="text1" w:themeTint="80" w:sz="4" w:space="0"/>
              <w:bottom w:val="single" w:color="7E7E7E" w:themeColor="text1" w:themeTint="80" w:sz="4" w:space="0"/>
            </w:tcBorders>
          </w:tcPr>
          <w:p w14:paraId="2326FF26">
            <w:pPr>
              <w:widowControl/>
              <w:spacing w:line="360" w:lineRule="auto"/>
              <w:jc w:val="left"/>
              <w:rPr>
                <w:rFonts w:ascii="华文仿宋" w:hAnsi="华文仿宋" w:eastAsia="华文仿宋" w:cs="宋体"/>
                <w:color w:val="000000"/>
                <w:kern w:val="0"/>
                <w:sz w:val="24"/>
              </w:rPr>
            </w:pPr>
          </w:p>
        </w:tc>
        <w:tc>
          <w:tcPr>
            <w:tcW w:w="0" w:type="auto"/>
            <w:tcBorders>
              <w:top w:val="single" w:color="7E7E7E" w:themeColor="text1" w:themeTint="80" w:sz="4" w:space="0"/>
              <w:bottom w:val="single" w:color="7E7E7E" w:themeColor="text1" w:themeTint="80" w:sz="4" w:space="0"/>
            </w:tcBorders>
            <w:noWrap/>
          </w:tcPr>
          <w:p w14:paraId="3E46DA1F">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j=1</w:t>
            </w:r>
          </w:p>
        </w:tc>
        <w:tc>
          <w:tcPr>
            <w:tcW w:w="0" w:type="auto"/>
            <w:tcBorders>
              <w:top w:val="single" w:color="7E7E7E" w:themeColor="text1" w:themeTint="80" w:sz="4" w:space="0"/>
              <w:bottom w:val="single" w:color="7E7E7E" w:themeColor="text1" w:themeTint="80" w:sz="4" w:space="0"/>
            </w:tcBorders>
            <w:noWrap/>
          </w:tcPr>
          <w:p w14:paraId="6ECE5663">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j=2</w:t>
            </w:r>
          </w:p>
        </w:tc>
        <w:tc>
          <w:tcPr>
            <w:tcW w:w="0" w:type="auto"/>
            <w:tcBorders>
              <w:top w:val="single" w:color="7E7E7E" w:themeColor="text1" w:themeTint="80" w:sz="4" w:space="0"/>
              <w:bottom w:val="single" w:color="7E7E7E" w:themeColor="text1" w:themeTint="80" w:sz="4" w:space="0"/>
            </w:tcBorders>
            <w:noWrap/>
          </w:tcPr>
          <w:p w14:paraId="7E10C62B">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j=3</w:t>
            </w:r>
          </w:p>
        </w:tc>
        <w:tc>
          <w:tcPr>
            <w:tcW w:w="0" w:type="auto"/>
            <w:tcBorders>
              <w:top w:val="single" w:color="7E7E7E" w:themeColor="text1" w:themeTint="80" w:sz="4" w:space="0"/>
              <w:bottom w:val="single" w:color="7E7E7E" w:themeColor="text1" w:themeTint="80" w:sz="4" w:space="0"/>
            </w:tcBorders>
            <w:noWrap/>
          </w:tcPr>
          <w:p w14:paraId="6B6472FD">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j=4</w:t>
            </w:r>
          </w:p>
        </w:tc>
        <w:tc>
          <w:tcPr>
            <w:tcW w:w="0" w:type="auto"/>
            <w:tcBorders>
              <w:top w:val="single" w:color="7E7E7E" w:themeColor="text1" w:themeTint="80" w:sz="4" w:space="0"/>
              <w:bottom w:val="single" w:color="7E7E7E" w:themeColor="text1" w:themeTint="80" w:sz="4" w:space="0"/>
            </w:tcBorders>
            <w:noWrap/>
          </w:tcPr>
          <w:p w14:paraId="3E46D4C7">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j=5</w:t>
            </w:r>
          </w:p>
        </w:tc>
      </w:tr>
      <w:tr w14:paraId="3CCB396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 w:hRule="atLeast"/>
          <w:jc w:val="center"/>
        </w:trPr>
        <w:tc>
          <w:tcPr>
            <w:tcW w:w="0" w:type="auto"/>
            <w:vMerge w:val="restart"/>
          </w:tcPr>
          <w:p w14:paraId="5D8DC732">
            <w:pPr>
              <w:widowControl/>
              <w:spacing w:line="360" w:lineRule="auto"/>
              <w:jc w:val="center"/>
              <w:rPr>
                <w:rFonts w:ascii="华文仿宋" w:hAnsi="华文仿宋" w:eastAsia="华文仿宋" w:cs="宋体"/>
                <w:b w:val="0"/>
                <w:bCs w:val="0"/>
                <w:color w:val="000000"/>
                <w:kern w:val="0"/>
                <w:sz w:val="24"/>
              </w:rPr>
            </w:pPr>
            <w:r>
              <w:rPr>
                <w:rFonts w:hint="eastAsia" w:ascii="华文仿宋" w:hAnsi="华文仿宋" w:eastAsia="华文仿宋" w:cs="宋体"/>
                <w:b/>
                <w:bCs/>
                <w:color w:val="000000"/>
                <w:kern w:val="0"/>
                <w:sz w:val="24"/>
              </w:rPr>
              <w:t>区域交通系统经济适应性</w:t>
            </w:r>
          </w:p>
          <w:p w14:paraId="1CBA7F97">
            <w:pPr>
              <w:widowControl/>
              <w:spacing w:line="360" w:lineRule="auto"/>
              <w:jc w:val="center"/>
              <w:rPr>
                <w:rFonts w:ascii="华文仿宋" w:hAnsi="华文仿宋" w:eastAsia="华文仿宋" w:cs="宋体"/>
                <w:b w:val="0"/>
                <w:bCs w:val="0"/>
                <w:color w:val="000000"/>
                <w:kern w:val="0"/>
                <w:sz w:val="24"/>
              </w:rPr>
            </w:pPr>
            <w:r>
              <w:rPr>
                <w:rFonts w:hint="eastAsia" w:ascii="华文仿宋" w:hAnsi="华文仿宋" w:eastAsia="华文仿宋" w:cs="宋体"/>
                <w:b/>
                <w:bCs/>
                <w:color w:val="000000"/>
                <w:kern w:val="0"/>
                <w:sz w:val="24"/>
              </w:rPr>
              <w:t>评价指标</w:t>
            </w:r>
          </w:p>
        </w:tc>
        <w:tc>
          <w:tcPr>
            <w:tcW w:w="0" w:type="auto"/>
            <w:vMerge w:val="restart"/>
            <w:noWrap/>
          </w:tcPr>
          <w:p w14:paraId="1D877854">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C1</w:t>
            </w:r>
          </w:p>
        </w:tc>
        <w:tc>
          <w:tcPr>
            <w:tcW w:w="0" w:type="auto"/>
            <w:vMerge w:val="restart"/>
          </w:tcPr>
          <w:p w14:paraId="65470C53">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C</w:t>
            </w:r>
            <w:r>
              <w:rPr>
                <w:rFonts w:ascii="华文仿宋" w:hAnsi="华文仿宋" w:eastAsia="华文仿宋" w:cs="宋体"/>
                <w:color w:val="000000"/>
                <w:kern w:val="0"/>
                <w:sz w:val="24"/>
              </w:rPr>
              <w:t>11</w:t>
            </w:r>
          </w:p>
        </w:tc>
        <w:tc>
          <w:tcPr>
            <w:tcW w:w="0" w:type="auto"/>
            <w:noWrap/>
          </w:tcPr>
          <w:p w14:paraId="3D485F16">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C1</w:t>
            </w:r>
            <w:r>
              <w:rPr>
                <w:rFonts w:ascii="华文仿宋" w:hAnsi="华文仿宋" w:eastAsia="华文仿宋" w:cs="宋体"/>
                <w:color w:val="000000"/>
                <w:kern w:val="0"/>
                <w:sz w:val="24"/>
              </w:rPr>
              <w:t>1</w:t>
            </w:r>
            <w:r>
              <w:rPr>
                <w:rFonts w:hint="eastAsia" w:ascii="华文仿宋" w:hAnsi="华文仿宋" w:eastAsia="华文仿宋" w:cs="宋体"/>
                <w:color w:val="000000"/>
                <w:kern w:val="0"/>
                <w:sz w:val="24"/>
              </w:rPr>
              <w:t>1</w:t>
            </w:r>
          </w:p>
        </w:tc>
        <w:tc>
          <w:tcPr>
            <w:tcW w:w="0" w:type="auto"/>
            <w:noWrap/>
          </w:tcPr>
          <w:p w14:paraId="293E79BF">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0.69</w:t>
            </w:r>
          </w:p>
        </w:tc>
        <w:tc>
          <w:tcPr>
            <w:tcW w:w="0" w:type="auto"/>
            <w:noWrap/>
          </w:tcPr>
          <w:p w14:paraId="249DB7E6">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-0.29</w:t>
            </w:r>
          </w:p>
        </w:tc>
        <w:tc>
          <w:tcPr>
            <w:tcW w:w="0" w:type="auto"/>
            <w:noWrap/>
          </w:tcPr>
          <w:p w14:paraId="1B2BB7B6">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-0.574</w:t>
            </w:r>
          </w:p>
        </w:tc>
        <w:tc>
          <w:tcPr>
            <w:tcW w:w="0" w:type="auto"/>
            <w:noWrap/>
          </w:tcPr>
          <w:p w14:paraId="751BC193">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-0.645</w:t>
            </w:r>
          </w:p>
        </w:tc>
        <w:tc>
          <w:tcPr>
            <w:tcW w:w="0" w:type="auto"/>
            <w:noWrap/>
          </w:tcPr>
          <w:p w14:paraId="42A655B5">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-0.696</w:t>
            </w:r>
          </w:p>
        </w:tc>
      </w:tr>
      <w:tr w14:paraId="6ED87C2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 w:hRule="atLeast"/>
          <w:jc w:val="center"/>
        </w:trPr>
        <w:tc>
          <w:tcPr>
            <w:tcW w:w="0" w:type="auto"/>
            <w:vMerge w:val="continue"/>
            <w:tcBorders>
              <w:top w:val="single" w:color="7E7E7E" w:themeColor="text1" w:themeTint="80" w:sz="4" w:space="0"/>
              <w:bottom w:val="single" w:color="7E7E7E" w:themeColor="text1" w:themeTint="80" w:sz="4" w:space="0"/>
            </w:tcBorders>
          </w:tcPr>
          <w:p w14:paraId="23B446D5">
            <w:pPr>
              <w:widowControl/>
              <w:spacing w:line="360" w:lineRule="auto"/>
              <w:jc w:val="left"/>
              <w:rPr>
                <w:rFonts w:ascii="华文仿宋" w:hAnsi="华文仿宋" w:eastAsia="华文仿宋" w:cs="宋体"/>
                <w:b w:val="0"/>
                <w:bCs w:val="0"/>
                <w:color w:val="000000"/>
                <w:kern w:val="0"/>
                <w:sz w:val="24"/>
              </w:rPr>
            </w:pPr>
          </w:p>
        </w:tc>
        <w:tc>
          <w:tcPr>
            <w:tcW w:w="0" w:type="auto"/>
            <w:vMerge w:val="continue"/>
            <w:tcBorders>
              <w:top w:val="single" w:color="7E7E7E" w:themeColor="text1" w:themeTint="80" w:sz="4" w:space="0"/>
              <w:bottom w:val="single" w:color="7E7E7E" w:themeColor="text1" w:themeTint="80" w:sz="4" w:space="0"/>
            </w:tcBorders>
          </w:tcPr>
          <w:p w14:paraId="371D8DD9">
            <w:pPr>
              <w:widowControl/>
              <w:spacing w:line="360" w:lineRule="auto"/>
              <w:jc w:val="left"/>
              <w:rPr>
                <w:rFonts w:ascii="华文仿宋" w:hAnsi="华文仿宋" w:eastAsia="华文仿宋" w:cs="宋体"/>
                <w:color w:val="000000"/>
                <w:kern w:val="0"/>
                <w:sz w:val="24"/>
              </w:rPr>
            </w:pPr>
          </w:p>
        </w:tc>
        <w:tc>
          <w:tcPr>
            <w:tcW w:w="0" w:type="auto"/>
            <w:vMerge w:val="continue"/>
            <w:tcBorders>
              <w:top w:val="single" w:color="7E7E7E" w:themeColor="text1" w:themeTint="80" w:sz="4" w:space="0"/>
              <w:bottom w:val="single" w:color="7E7E7E" w:themeColor="text1" w:themeTint="80" w:sz="4" w:space="0"/>
            </w:tcBorders>
          </w:tcPr>
          <w:p w14:paraId="38A76F38">
            <w:pPr>
              <w:widowControl/>
              <w:spacing w:line="360" w:lineRule="auto"/>
              <w:jc w:val="left"/>
              <w:rPr>
                <w:rFonts w:ascii="华文仿宋" w:hAnsi="华文仿宋" w:eastAsia="华文仿宋" w:cs="宋体"/>
                <w:color w:val="000000"/>
                <w:kern w:val="0"/>
                <w:sz w:val="24"/>
              </w:rPr>
            </w:pPr>
          </w:p>
        </w:tc>
        <w:tc>
          <w:tcPr>
            <w:tcW w:w="0" w:type="auto"/>
            <w:tcBorders>
              <w:top w:val="single" w:color="7E7E7E" w:themeColor="text1" w:themeTint="80" w:sz="4" w:space="0"/>
              <w:bottom w:val="single" w:color="7E7E7E" w:themeColor="text1" w:themeTint="80" w:sz="4" w:space="0"/>
            </w:tcBorders>
            <w:noWrap/>
          </w:tcPr>
          <w:p w14:paraId="44BCD2BB">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C1</w:t>
            </w:r>
            <w:r>
              <w:rPr>
                <w:rFonts w:ascii="华文仿宋" w:hAnsi="华文仿宋" w:eastAsia="华文仿宋" w:cs="宋体"/>
                <w:color w:val="000000"/>
                <w:kern w:val="0"/>
                <w:sz w:val="24"/>
              </w:rPr>
              <w:t>1</w:t>
            </w:r>
            <w:r>
              <w:rPr>
                <w:rFonts w:hint="eastAsia" w:ascii="华文仿宋" w:hAnsi="华文仿宋" w:eastAsia="华文仿宋" w:cs="宋体"/>
                <w:color w:val="000000"/>
                <w:kern w:val="0"/>
                <w:sz w:val="24"/>
              </w:rPr>
              <w:t>2</w:t>
            </w:r>
          </w:p>
        </w:tc>
        <w:tc>
          <w:tcPr>
            <w:tcW w:w="0" w:type="auto"/>
            <w:tcBorders>
              <w:top w:val="single" w:color="7E7E7E" w:themeColor="text1" w:themeTint="80" w:sz="4" w:space="0"/>
              <w:bottom w:val="single" w:color="7E7E7E" w:themeColor="text1" w:themeTint="80" w:sz="4" w:space="0"/>
            </w:tcBorders>
            <w:noWrap/>
          </w:tcPr>
          <w:p w14:paraId="552249BE">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-0.0249</w:t>
            </w:r>
          </w:p>
        </w:tc>
        <w:tc>
          <w:tcPr>
            <w:tcW w:w="0" w:type="auto"/>
            <w:tcBorders>
              <w:top w:val="single" w:color="7E7E7E" w:themeColor="text1" w:themeTint="80" w:sz="4" w:space="0"/>
              <w:bottom w:val="single" w:color="7E7E7E" w:themeColor="text1" w:themeTint="80" w:sz="4" w:space="0"/>
            </w:tcBorders>
            <w:noWrap/>
          </w:tcPr>
          <w:p w14:paraId="4E551A1A">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0.0263</w:t>
            </w:r>
          </w:p>
        </w:tc>
        <w:tc>
          <w:tcPr>
            <w:tcW w:w="0" w:type="auto"/>
            <w:tcBorders>
              <w:top w:val="single" w:color="7E7E7E" w:themeColor="text1" w:themeTint="80" w:sz="4" w:space="0"/>
              <w:bottom w:val="single" w:color="7E7E7E" w:themeColor="text1" w:themeTint="80" w:sz="4" w:space="0"/>
            </w:tcBorders>
            <w:noWrap/>
          </w:tcPr>
          <w:p w14:paraId="3926AFFD">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-0.034</w:t>
            </w:r>
          </w:p>
        </w:tc>
        <w:tc>
          <w:tcPr>
            <w:tcW w:w="0" w:type="auto"/>
            <w:tcBorders>
              <w:top w:val="single" w:color="7E7E7E" w:themeColor="text1" w:themeTint="80" w:sz="4" w:space="0"/>
              <w:bottom w:val="single" w:color="7E7E7E" w:themeColor="text1" w:themeTint="80" w:sz="4" w:space="0"/>
            </w:tcBorders>
            <w:noWrap/>
          </w:tcPr>
          <w:p w14:paraId="5CE1BF2D">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-0.088</w:t>
            </w:r>
          </w:p>
        </w:tc>
        <w:tc>
          <w:tcPr>
            <w:tcW w:w="0" w:type="auto"/>
            <w:tcBorders>
              <w:top w:val="single" w:color="7E7E7E" w:themeColor="text1" w:themeTint="80" w:sz="4" w:space="0"/>
              <w:bottom w:val="single" w:color="7E7E7E" w:themeColor="text1" w:themeTint="80" w:sz="4" w:space="0"/>
            </w:tcBorders>
            <w:noWrap/>
          </w:tcPr>
          <w:p w14:paraId="722ED114">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-0.12</w:t>
            </w:r>
          </w:p>
        </w:tc>
      </w:tr>
      <w:tr w14:paraId="58B0358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 w:hRule="atLeast"/>
          <w:jc w:val="center"/>
        </w:trPr>
        <w:tc>
          <w:tcPr>
            <w:tcW w:w="0" w:type="auto"/>
            <w:vMerge w:val="continue"/>
          </w:tcPr>
          <w:p w14:paraId="7B03607C">
            <w:pPr>
              <w:widowControl/>
              <w:spacing w:line="360" w:lineRule="auto"/>
              <w:jc w:val="left"/>
              <w:rPr>
                <w:rFonts w:ascii="华文仿宋" w:hAnsi="华文仿宋" w:eastAsia="华文仿宋" w:cs="宋体"/>
                <w:b w:val="0"/>
                <w:bCs w:val="0"/>
                <w:color w:val="000000"/>
                <w:kern w:val="0"/>
                <w:sz w:val="24"/>
              </w:rPr>
            </w:pPr>
          </w:p>
        </w:tc>
        <w:tc>
          <w:tcPr>
            <w:tcW w:w="0" w:type="auto"/>
            <w:vMerge w:val="continue"/>
          </w:tcPr>
          <w:p w14:paraId="592AEF5D">
            <w:pPr>
              <w:widowControl/>
              <w:spacing w:line="360" w:lineRule="auto"/>
              <w:jc w:val="left"/>
              <w:rPr>
                <w:rFonts w:ascii="华文仿宋" w:hAnsi="华文仿宋" w:eastAsia="华文仿宋" w:cs="宋体"/>
                <w:color w:val="000000"/>
                <w:kern w:val="0"/>
                <w:sz w:val="24"/>
              </w:rPr>
            </w:pPr>
          </w:p>
        </w:tc>
        <w:tc>
          <w:tcPr>
            <w:tcW w:w="0" w:type="auto"/>
            <w:vMerge w:val="continue"/>
          </w:tcPr>
          <w:p w14:paraId="2CE5963C">
            <w:pPr>
              <w:widowControl/>
              <w:spacing w:line="360" w:lineRule="auto"/>
              <w:jc w:val="left"/>
              <w:rPr>
                <w:rFonts w:ascii="华文仿宋" w:hAnsi="华文仿宋" w:eastAsia="华文仿宋" w:cs="宋体"/>
                <w:color w:val="000000"/>
                <w:kern w:val="0"/>
                <w:sz w:val="24"/>
              </w:rPr>
            </w:pPr>
          </w:p>
        </w:tc>
        <w:tc>
          <w:tcPr>
            <w:tcW w:w="0" w:type="auto"/>
            <w:noWrap/>
          </w:tcPr>
          <w:p w14:paraId="782B2714">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C</w:t>
            </w:r>
            <w:r>
              <w:rPr>
                <w:rFonts w:ascii="华文仿宋" w:hAnsi="华文仿宋" w:eastAsia="华文仿宋" w:cs="宋体"/>
                <w:color w:val="000000"/>
                <w:kern w:val="0"/>
                <w:sz w:val="24"/>
              </w:rPr>
              <w:t>113</w:t>
            </w:r>
          </w:p>
        </w:tc>
        <w:tc>
          <w:tcPr>
            <w:tcW w:w="0" w:type="auto"/>
            <w:noWrap/>
          </w:tcPr>
          <w:p w14:paraId="1104061F">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-0.399</w:t>
            </w:r>
          </w:p>
        </w:tc>
        <w:tc>
          <w:tcPr>
            <w:tcW w:w="0" w:type="auto"/>
            <w:noWrap/>
          </w:tcPr>
          <w:p w14:paraId="1F4F636C">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-0.247</w:t>
            </w:r>
          </w:p>
        </w:tc>
        <w:tc>
          <w:tcPr>
            <w:tcW w:w="0" w:type="auto"/>
            <w:noWrap/>
          </w:tcPr>
          <w:p w14:paraId="7147EE0C">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0.49</w:t>
            </w:r>
          </w:p>
        </w:tc>
        <w:tc>
          <w:tcPr>
            <w:tcW w:w="0" w:type="auto"/>
            <w:noWrap/>
          </w:tcPr>
          <w:p w14:paraId="570FEFEA">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-0.503</w:t>
            </w:r>
          </w:p>
        </w:tc>
        <w:tc>
          <w:tcPr>
            <w:tcW w:w="0" w:type="auto"/>
            <w:noWrap/>
          </w:tcPr>
          <w:p w14:paraId="110B607B">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-0.702</w:t>
            </w:r>
          </w:p>
        </w:tc>
      </w:tr>
      <w:tr w14:paraId="641BD89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 w:hRule="atLeast"/>
          <w:jc w:val="center"/>
        </w:trPr>
        <w:tc>
          <w:tcPr>
            <w:tcW w:w="0" w:type="auto"/>
            <w:vMerge w:val="continue"/>
            <w:tcBorders>
              <w:top w:val="single" w:color="7E7E7E" w:themeColor="text1" w:themeTint="80" w:sz="4" w:space="0"/>
              <w:bottom w:val="single" w:color="7E7E7E" w:themeColor="text1" w:themeTint="80" w:sz="4" w:space="0"/>
            </w:tcBorders>
          </w:tcPr>
          <w:p w14:paraId="634224E0">
            <w:pPr>
              <w:widowControl/>
              <w:spacing w:line="360" w:lineRule="auto"/>
              <w:jc w:val="left"/>
              <w:rPr>
                <w:rFonts w:ascii="华文仿宋" w:hAnsi="华文仿宋" w:eastAsia="华文仿宋" w:cs="宋体"/>
                <w:b w:val="0"/>
                <w:bCs w:val="0"/>
                <w:color w:val="000000"/>
                <w:kern w:val="0"/>
                <w:sz w:val="24"/>
              </w:rPr>
            </w:pPr>
          </w:p>
        </w:tc>
        <w:tc>
          <w:tcPr>
            <w:tcW w:w="0" w:type="auto"/>
            <w:vMerge w:val="continue"/>
            <w:tcBorders>
              <w:top w:val="single" w:color="7E7E7E" w:themeColor="text1" w:themeTint="80" w:sz="4" w:space="0"/>
              <w:bottom w:val="single" w:color="7E7E7E" w:themeColor="text1" w:themeTint="80" w:sz="4" w:space="0"/>
            </w:tcBorders>
          </w:tcPr>
          <w:p w14:paraId="5F521E08">
            <w:pPr>
              <w:widowControl/>
              <w:spacing w:line="360" w:lineRule="auto"/>
              <w:jc w:val="left"/>
              <w:rPr>
                <w:rFonts w:ascii="华文仿宋" w:hAnsi="华文仿宋" w:eastAsia="华文仿宋" w:cs="宋体"/>
                <w:color w:val="000000"/>
                <w:kern w:val="0"/>
                <w:sz w:val="24"/>
              </w:rPr>
            </w:pPr>
          </w:p>
        </w:tc>
        <w:tc>
          <w:tcPr>
            <w:tcW w:w="0" w:type="auto"/>
            <w:vMerge w:val="restart"/>
            <w:tcBorders>
              <w:top w:val="single" w:color="7E7E7E" w:themeColor="text1" w:themeTint="80" w:sz="4" w:space="0"/>
              <w:bottom w:val="single" w:color="7E7E7E" w:themeColor="text1" w:themeTint="80" w:sz="4" w:space="0"/>
            </w:tcBorders>
          </w:tcPr>
          <w:p w14:paraId="624A371D">
            <w:pPr>
              <w:widowControl/>
              <w:spacing w:line="360" w:lineRule="auto"/>
              <w:jc w:val="center"/>
              <w:rPr>
                <w:rFonts w:ascii="华文仿宋" w:hAnsi="华文仿宋" w:eastAsia="华文仿宋" w:cs="宋体"/>
                <w:color w:val="000000"/>
                <w:kern w:val="0"/>
                <w:sz w:val="24"/>
              </w:rPr>
            </w:pPr>
            <w:r>
              <w:rPr>
                <w:rFonts w:ascii="华文仿宋" w:hAnsi="华文仿宋" w:eastAsia="华文仿宋" w:cs="宋体"/>
                <w:color w:val="000000"/>
                <w:kern w:val="0"/>
                <w:sz w:val="24"/>
              </w:rPr>
              <w:t>C12</w:t>
            </w:r>
          </w:p>
        </w:tc>
        <w:tc>
          <w:tcPr>
            <w:tcW w:w="0" w:type="auto"/>
            <w:tcBorders>
              <w:top w:val="single" w:color="7E7E7E" w:themeColor="text1" w:themeTint="80" w:sz="4" w:space="0"/>
              <w:bottom w:val="single" w:color="7E7E7E" w:themeColor="text1" w:themeTint="80" w:sz="4" w:space="0"/>
            </w:tcBorders>
            <w:noWrap/>
          </w:tcPr>
          <w:p w14:paraId="0A63E6BA">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C</w:t>
            </w:r>
            <w:r>
              <w:rPr>
                <w:rFonts w:ascii="华文仿宋" w:hAnsi="华文仿宋" w:eastAsia="华文仿宋" w:cs="宋体"/>
                <w:color w:val="000000"/>
                <w:kern w:val="0"/>
                <w:sz w:val="24"/>
              </w:rPr>
              <w:t>121</w:t>
            </w:r>
          </w:p>
        </w:tc>
        <w:tc>
          <w:tcPr>
            <w:tcW w:w="0" w:type="auto"/>
            <w:tcBorders>
              <w:top w:val="single" w:color="7E7E7E" w:themeColor="text1" w:themeTint="80" w:sz="4" w:space="0"/>
              <w:bottom w:val="single" w:color="7E7E7E" w:themeColor="text1" w:themeTint="80" w:sz="4" w:space="0"/>
            </w:tcBorders>
            <w:noWrap/>
          </w:tcPr>
          <w:p w14:paraId="2C2953C9">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-0.056</w:t>
            </w:r>
            <w:r>
              <w:rPr>
                <w:rFonts w:ascii="华文仿宋" w:hAnsi="华文仿宋" w:eastAsia="华文仿宋" w:cs="宋体"/>
                <w:color w:val="000000"/>
                <w:kern w:val="0"/>
                <w:sz w:val="24"/>
              </w:rPr>
              <w:t>6</w:t>
            </w:r>
          </w:p>
        </w:tc>
        <w:tc>
          <w:tcPr>
            <w:tcW w:w="0" w:type="auto"/>
            <w:tcBorders>
              <w:top w:val="single" w:color="7E7E7E" w:themeColor="text1" w:themeTint="80" w:sz="4" w:space="0"/>
              <w:bottom w:val="single" w:color="7E7E7E" w:themeColor="text1" w:themeTint="80" w:sz="4" w:space="0"/>
            </w:tcBorders>
            <w:noWrap/>
          </w:tcPr>
          <w:p w14:paraId="59C53DFF">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0.0638</w:t>
            </w:r>
          </w:p>
        </w:tc>
        <w:tc>
          <w:tcPr>
            <w:tcW w:w="0" w:type="auto"/>
            <w:tcBorders>
              <w:top w:val="single" w:color="7E7E7E" w:themeColor="text1" w:themeTint="80" w:sz="4" w:space="0"/>
              <w:bottom w:val="single" w:color="7E7E7E" w:themeColor="text1" w:themeTint="80" w:sz="4" w:space="0"/>
            </w:tcBorders>
            <w:noWrap/>
          </w:tcPr>
          <w:p w14:paraId="33580EB8">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-0.574</w:t>
            </w:r>
          </w:p>
        </w:tc>
        <w:tc>
          <w:tcPr>
            <w:tcW w:w="0" w:type="auto"/>
            <w:tcBorders>
              <w:top w:val="single" w:color="7E7E7E" w:themeColor="text1" w:themeTint="80" w:sz="4" w:space="0"/>
              <w:bottom w:val="single" w:color="7E7E7E" w:themeColor="text1" w:themeTint="80" w:sz="4" w:space="0"/>
            </w:tcBorders>
            <w:noWrap/>
          </w:tcPr>
          <w:p w14:paraId="6C4522F2">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-0.734</w:t>
            </w:r>
          </w:p>
        </w:tc>
        <w:tc>
          <w:tcPr>
            <w:tcW w:w="0" w:type="auto"/>
            <w:tcBorders>
              <w:top w:val="single" w:color="7E7E7E" w:themeColor="text1" w:themeTint="80" w:sz="4" w:space="0"/>
              <w:bottom w:val="single" w:color="7E7E7E" w:themeColor="text1" w:themeTint="80" w:sz="4" w:space="0"/>
            </w:tcBorders>
            <w:noWrap/>
          </w:tcPr>
          <w:p w14:paraId="1ED20FBF">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-0.848</w:t>
            </w:r>
          </w:p>
        </w:tc>
      </w:tr>
      <w:tr w14:paraId="33EE8EA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 w:hRule="atLeast"/>
          <w:jc w:val="center"/>
        </w:trPr>
        <w:tc>
          <w:tcPr>
            <w:tcW w:w="0" w:type="auto"/>
            <w:vMerge w:val="continue"/>
          </w:tcPr>
          <w:p w14:paraId="0420AFF5">
            <w:pPr>
              <w:widowControl/>
              <w:spacing w:line="360" w:lineRule="auto"/>
              <w:jc w:val="left"/>
              <w:rPr>
                <w:rFonts w:ascii="华文仿宋" w:hAnsi="华文仿宋" w:eastAsia="华文仿宋" w:cs="宋体"/>
                <w:b w:val="0"/>
                <w:bCs w:val="0"/>
                <w:color w:val="000000"/>
                <w:kern w:val="0"/>
                <w:sz w:val="24"/>
              </w:rPr>
            </w:pPr>
          </w:p>
        </w:tc>
        <w:tc>
          <w:tcPr>
            <w:tcW w:w="0" w:type="auto"/>
            <w:vMerge w:val="continue"/>
          </w:tcPr>
          <w:p w14:paraId="159C6E35">
            <w:pPr>
              <w:widowControl/>
              <w:spacing w:line="360" w:lineRule="auto"/>
              <w:jc w:val="left"/>
              <w:rPr>
                <w:rFonts w:ascii="华文仿宋" w:hAnsi="华文仿宋" w:eastAsia="华文仿宋" w:cs="宋体"/>
                <w:color w:val="000000"/>
                <w:kern w:val="0"/>
                <w:sz w:val="24"/>
              </w:rPr>
            </w:pPr>
          </w:p>
        </w:tc>
        <w:tc>
          <w:tcPr>
            <w:tcW w:w="0" w:type="auto"/>
            <w:vMerge w:val="continue"/>
          </w:tcPr>
          <w:p w14:paraId="487544C0">
            <w:pPr>
              <w:widowControl/>
              <w:spacing w:line="360" w:lineRule="auto"/>
              <w:jc w:val="left"/>
              <w:rPr>
                <w:rFonts w:ascii="华文仿宋" w:hAnsi="华文仿宋" w:eastAsia="华文仿宋" w:cs="宋体"/>
                <w:color w:val="000000"/>
                <w:kern w:val="0"/>
                <w:sz w:val="24"/>
              </w:rPr>
            </w:pPr>
          </w:p>
        </w:tc>
        <w:tc>
          <w:tcPr>
            <w:tcW w:w="0" w:type="auto"/>
            <w:noWrap/>
          </w:tcPr>
          <w:p w14:paraId="34031835">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C</w:t>
            </w:r>
            <w:r>
              <w:rPr>
                <w:rFonts w:ascii="华文仿宋" w:hAnsi="华文仿宋" w:eastAsia="华文仿宋" w:cs="宋体"/>
                <w:color w:val="000000"/>
                <w:kern w:val="0"/>
                <w:sz w:val="24"/>
              </w:rPr>
              <w:t>122</w:t>
            </w:r>
          </w:p>
        </w:tc>
        <w:tc>
          <w:tcPr>
            <w:tcW w:w="0" w:type="auto"/>
            <w:noWrap/>
          </w:tcPr>
          <w:p w14:paraId="01561736">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0.362</w:t>
            </w:r>
            <w:r>
              <w:rPr>
                <w:rFonts w:ascii="华文仿宋" w:hAnsi="华文仿宋" w:eastAsia="华文仿宋" w:cs="宋体"/>
                <w:color w:val="000000"/>
                <w:kern w:val="0"/>
                <w:sz w:val="24"/>
              </w:rPr>
              <w:t>4</w:t>
            </w:r>
          </w:p>
        </w:tc>
        <w:tc>
          <w:tcPr>
            <w:tcW w:w="0" w:type="auto"/>
            <w:noWrap/>
          </w:tcPr>
          <w:p w14:paraId="02056566">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-0.21</w:t>
            </w:r>
          </w:p>
        </w:tc>
        <w:tc>
          <w:tcPr>
            <w:tcW w:w="0" w:type="auto"/>
            <w:noWrap/>
          </w:tcPr>
          <w:p w14:paraId="47DAE800">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-0.473</w:t>
            </w:r>
          </w:p>
        </w:tc>
        <w:tc>
          <w:tcPr>
            <w:tcW w:w="0" w:type="auto"/>
            <w:noWrap/>
          </w:tcPr>
          <w:p w14:paraId="456EDFDA">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-0.774</w:t>
            </w:r>
          </w:p>
        </w:tc>
        <w:tc>
          <w:tcPr>
            <w:tcW w:w="0" w:type="auto"/>
            <w:noWrap/>
          </w:tcPr>
          <w:p w14:paraId="5E59730F">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-0.868</w:t>
            </w:r>
          </w:p>
        </w:tc>
      </w:tr>
      <w:tr w14:paraId="65F8D81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 w:hRule="atLeast"/>
          <w:jc w:val="center"/>
        </w:trPr>
        <w:tc>
          <w:tcPr>
            <w:tcW w:w="0" w:type="auto"/>
            <w:vMerge w:val="continue"/>
            <w:tcBorders>
              <w:top w:val="single" w:color="7E7E7E" w:themeColor="text1" w:themeTint="80" w:sz="4" w:space="0"/>
              <w:bottom w:val="single" w:color="7E7E7E" w:themeColor="text1" w:themeTint="80" w:sz="4" w:space="0"/>
            </w:tcBorders>
          </w:tcPr>
          <w:p w14:paraId="20D9EFB7">
            <w:pPr>
              <w:widowControl/>
              <w:spacing w:line="360" w:lineRule="auto"/>
              <w:jc w:val="left"/>
              <w:rPr>
                <w:rFonts w:ascii="华文仿宋" w:hAnsi="华文仿宋" w:eastAsia="华文仿宋" w:cs="宋体"/>
                <w:b w:val="0"/>
                <w:bCs w:val="0"/>
                <w:color w:val="000000"/>
                <w:kern w:val="0"/>
                <w:sz w:val="24"/>
              </w:rPr>
            </w:pPr>
          </w:p>
        </w:tc>
        <w:tc>
          <w:tcPr>
            <w:tcW w:w="0" w:type="auto"/>
            <w:vMerge w:val="restart"/>
            <w:tcBorders>
              <w:top w:val="single" w:color="7E7E7E" w:themeColor="text1" w:themeTint="80" w:sz="4" w:space="0"/>
              <w:bottom w:val="single" w:color="7E7E7E" w:themeColor="text1" w:themeTint="80" w:sz="4" w:space="0"/>
            </w:tcBorders>
            <w:noWrap/>
          </w:tcPr>
          <w:p w14:paraId="6065FE8C">
            <w:pPr>
              <w:widowControl/>
              <w:spacing w:line="360" w:lineRule="auto"/>
              <w:jc w:val="center"/>
              <w:rPr>
                <w:rFonts w:ascii="华文仿宋" w:hAnsi="华文仿宋" w:eastAsia="华文仿宋" w:cs="宋体"/>
                <w:color w:val="000000"/>
                <w:kern w:val="0"/>
                <w:sz w:val="24"/>
              </w:rPr>
            </w:pPr>
            <w:r>
              <w:rPr>
                <w:rFonts w:ascii="华文仿宋" w:hAnsi="华文仿宋" w:eastAsia="华文仿宋" w:cs="宋体"/>
                <w:color w:val="000000"/>
                <w:kern w:val="0"/>
                <w:sz w:val="24"/>
              </w:rPr>
              <w:t>C2</w:t>
            </w:r>
          </w:p>
        </w:tc>
        <w:tc>
          <w:tcPr>
            <w:tcW w:w="0" w:type="auto"/>
            <w:vMerge w:val="restart"/>
            <w:tcBorders>
              <w:top w:val="single" w:color="7E7E7E" w:themeColor="text1" w:themeTint="80" w:sz="4" w:space="0"/>
              <w:bottom w:val="single" w:color="7E7E7E" w:themeColor="text1" w:themeTint="80" w:sz="4" w:space="0"/>
            </w:tcBorders>
          </w:tcPr>
          <w:p w14:paraId="5B99EF99">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C</w:t>
            </w:r>
            <w:r>
              <w:rPr>
                <w:rFonts w:ascii="华文仿宋" w:hAnsi="华文仿宋" w:eastAsia="华文仿宋" w:cs="宋体"/>
                <w:color w:val="000000"/>
                <w:kern w:val="0"/>
                <w:sz w:val="24"/>
              </w:rPr>
              <w:t>21</w:t>
            </w:r>
          </w:p>
        </w:tc>
        <w:tc>
          <w:tcPr>
            <w:tcW w:w="0" w:type="auto"/>
            <w:tcBorders>
              <w:top w:val="single" w:color="7E7E7E" w:themeColor="text1" w:themeTint="80" w:sz="4" w:space="0"/>
              <w:bottom w:val="single" w:color="7E7E7E" w:themeColor="text1" w:themeTint="80" w:sz="4" w:space="0"/>
            </w:tcBorders>
            <w:noWrap/>
          </w:tcPr>
          <w:p w14:paraId="3AF0085A">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C</w:t>
            </w:r>
            <w:r>
              <w:rPr>
                <w:rFonts w:ascii="华文仿宋" w:hAnsi="华文仿宋" w:eastAsia="华文仿宋" w:cs="宋体"/>
                <w:color w:val="000000"/>
                <w:kern w:val="0"/>
                <w:sz w:val="24"/>
              </w:rPr>
              <w:t>211</w:t>
            </w:r>
          </w:p>
        </w:tc>
        <w:tc>
          <w:tcPr>
            <w:tcW w:w="0" w:type="auto"/>
            <w:tcBorders>
              <w:top w:val="single" w:color="7E7E7E" w:themeColor="text1" w:themeTint="80" w:sz="4" w:space="0"/>
              <w:bottom w:val="single" w:color="7E7E7E" w:themeColor="text1" w:themeTint="80" w:sz="4" w:space="0"/>
            </w:tcBorders>
            <w:noWrap/>
          </w:tcPr>
          <w:p w14:paraId="4DA536EB">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-0.2368</w:t>
            </w:r>
          </w:p>
        </w:tc>
        <w:tc>
          <w:tcPr>
            <w:tcW w:w="0" w:type="auto"/>
            <w:tcBorders>
              <w:top w:val="single" w:color="7E7E7E" w:themeColor="text1" w:themeTint="80" w:sz="4" w:space="0"/>
              <w:bottom w:val="single" w:color="7E7E7E" w:themeColor="text1" w:themeTint="80" w:sz="4" w:space="0"/>
            </w:tcBorders>
            <w:noWrap/>
          </w:tcPr>
          <w:p w14:paraId="19798C85">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0.0357</w:t>
            </w:r>
          </w:p>
        </w:tc>
        <w:tc>
          <w:tcPr>
            <w:tcW w:w="0" w:type="auto"/>
            <w:tcBorders>
              <w:top w:val="single" w:color="7E7E7E" w:themeColor="text1" w:themeTint="80" w:sz="4" w:space="0"/>
              <w:bottom w:val="single" w:color="7E7E7E" w:themeColor="text1" w:themeTint="80" w:sz="4" w:space="0"/>
            </w:tcBorders>
            <w:noWrap/>
          </w:tcPr>
          <w:p w14:paraId="5C572BD1">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-0.033</w:t>
            </w:r>
          </w:p>
        </w:tc>
        <w:tc>
          <w:tcPr>
            <w:tcW w:w="0" w:type="auto"/>
            <w:tcBorders>
              <w:top w:val="single" w:color="7E7E7E" w:themeColor="text1" w:themeTint="80" w:sz="4" w:space="0"/>
              <w:bottom w:val="single" w:color="7E7E7E" w:themeColor="text1" w:themeTint="80" w:sz="4" w:space="0"/>
            </w:tcBorders>
            <w:noWrap/>
          </w:tcPr>
          <w:p w14:paraId="67909611">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-0.275</w:t>
            </w:r>
          </w:p>
        </w:tc>
        <w:tc>
          <w:tcPr>
            <w:tcW w:w="0" w:type="auto"/>
            <w:tcBorders>
              <w:top w:val="single" w:color="7E7E7E" w:themeColor="text1" w:themeTint="80" w:sz="4" w:space="0"/>
              <w:bottom w:val="single" w:color="7E7E7E" w:themeColor="text1" w:themeTint="80" w:sz="4" w:space="0"/>
            </w:tcBorders>
            <w:noWrap/>
          </w:tcPr>
          <w:p w14:paraId="62B1CF80">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-0.42</w:t>
            </w:r>
          </w:p>
        </w:tc>
      </w:tr>
      <w:tr w14:paraId="731311FB">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7" w:hRule="atLeast"/>
          <w:jc w:val="center"/>
        </w:trPr>
        <w:tc>
          <w:tcPr>
            <w:tcW w:w="0" w:type="auto"/>
            <w:vMerge w:val="continue"/>
          </w:tcPr>
          <w:p w14:paraId="4C09C9FA">
            <w:pPr>
              <w:widowControl/>
              <w:spacing w:line="360" w:lineRule="auto"/>
              <w:jc w:val="left"/>
              <w:rPr>
                <w:rFonts w:ascii="华文仿宋" w:hAnsi="华文仿宋" w:eastAsia="华文仿宋" w:cs="宋体"/>
                <w:b w:val="0"/>
                <w:bCs w:val="0"/>
                <w:color w:val="000000"/>
                <w:kern w:val="0"/>
                <w:sz w:val="24"/>
              </w:rPr>
            </w:pPr>
          </w:p>
        </w:tc>
        <w:tc>
          <w:tcPr>
            <w:tcW w:w="0" w:type="auto"/>
            <w:vMerge w:val="continue"/>
          </w:tcPr>
          <w:p w14:paraId="1E1EB954">
            <w:pPr>
              <w:widowControl/>
              <w:spacing w:line="360" w:lineRule="auto"/>
              <w:jc w:val="left"/>
              <w:rPr>
                <w:rFonts w:ascii="华文仿宋" w:hAnsi="华文仿宋" w:eastAsia="华文仿宋" w:cs="宋体"/>
                <w:color w:val="000000"/>
                <w:kern w:val="0"/>
                <w:sz w:val="24"/>
              </w:rPr>
            </w:pPr>
          </w:p>
        </w:tc>
        <w:tc>
          <w:tcPr>
            <w:tcW w:w="0" w:type="auto"/>
            <w:vMerge w:val="continue"/>
          </w:tcPr>
          <w:p w14:paraId="540B5F11">
            <w:pPr>
              <w:widowControl/>
              <w:spacing w:line="360" w:lineRule="auto"/>
              <w:jc w:val="left"/>
              <w:rPr>
                <w:rFonts w:ascii="华文仿宋" w:hAnsi="华文仿宋" w:eastAsia="华文仿宋" w:cs="宋体"/>
                <w:color w:val="000000"/>
                <w:kern w:val="0"/>
                <w:sz w:val="24"/>
              </w:rPr>
            </w:pPr>
          </w:p>
        </w:tc>
        <w:tc>
          <w:tcPr>
            <w:tcW w:w="0" w:type="auto"/>
            <w:noWrap/>
          </w:tcPr>
          <w:p w14:paraId="37C79D0F">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C</w:t>
            </w:r>
            <w:r>
              <w:rPr>
                <w:rFonts w:ascii="华文仿宋" w:hAnsi="华文仿宋" w:eastAsia="华文仿宋" w:cs="宋体"/>
                <w:color w:val="000000"/>
                <w:kern w:val="0"/>
                <w:sz w:val="24"/>
              </w:rPr>
              <w:t>212</w:t>
            </w:r>
          </w:p>
        </w:tc>
        <w:tc>
          <w:tcPr>
            <w:tcW w:w="0" w:type="auto"/>
            <w:noWrap/>
          </w:tcPr>
          <w:p w14:paraId="571F8476">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0.2222</w:t>
            </w:r>
          </w:p>
        </w:tc>
        <w:tc>
          <w:tcPr>
            <w:tcW w:w="0" w:type="auto"/>
            <w:noWrap/>
          </w:tcPr>
          <w:p w14:paraId="52EDD7BC">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-0.154</w:t>
            </w:r>
          </w:p>
        </w:tc>
        <w:tc>
          <w:tcPr>
            <w:tcW w:w="0" w:type="auto"/>
            <w:noWrap/>
          </w:tcPr>
          <w:p w14:paraId="7382FFA4">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-0.421</w:t>
            </w:r>
          </w:p>
        </w:tc>
        <w:tc>
          <w:tcPr>
            <w:tcW w:w="0" w:type="auto"/>
            <w:noWrap/>
          </w:tcPr>
          <w:p w14:paraId="459D469B">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-0.56</w:t>
            </w:r>
          </w:p>
        </w:tc>
        <w:tc>
          <w:tcPr>
            <w:tcW w:w="0" w:type="auto"/>
            <w:noWrap/>
          </w:tcPr>
          <w:p w14:paraId="69C27CA5">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-0.633</w:t>
            </w:r>
          </w:p>
        </w:tc>
      </w:tr>
      <w:tr w14:paraId="7539264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 w:hRule="atLeast"/>
          <w:jc w:val="center"/>
        </w:trPr>
        <w:tc>
          <w:tcPr>
            <w:tcW w:w="0" w:type="auto"/>
            <w:vMerge w:val="continue"/>
            <w:tcBorders>
              <w:top w:val="single" w:color="7E7E7E" w:themeColor="text1" w:themeTint="80" w:sz="4" w:space="0"/>
              <w:bottom w:val="single" w:color="7E7E7E" w:themeColor="text1" w:themeTint="80" w:sz="4" w:space="0"/>
            </w:tcBorders>
          </w:tcPr>
          <w:p w14:paraId="4C0A53C5">
            <w:pPr>
              <w:widowControl/>
              <w:spacing w:line="360" w:lineRule="auto"/>
              <w:jc w:val="left"/>
              <w:rPr>
                <w:rFonts w:ascii="华文仿宋" w:hAnsi="华文仿宋" w:eastAsia="华文仿宋" w:cs="宋体"/>
                <w:b w:val="0"/>
                <w:bCs w:val="0"/>
                <w:color w:val="000000"/>
                <w:kern w:val="0"/>
                <w:sz w:val="24"/>
              </w:rPr>
            </w:pPr>
          </w:p>
        </w:tc>
        <w:tc>
          <w:tcPr>
            <w:tcW w:w="0" w:type="auto"/>
            <w:vMerge w:val="continue"/>
            <w:tcBorders>
              <w:top w:val="single" w:color="7E7E7E" w:themeColor="text1" w:themeTint="80" w:sz="4" w:space="0"/>
              <w:bottom w:val="single" w:color="7E7E7E" w:themeColor="text1" w:themeTint="80" w:sz="4" w:space="0"/>
            </w:tcBorders>
          </w:tcPr>
          <w:p w14:paraId="6B7C3BF5">
            <w:pPr>
              <w:widowControl/>
              <w:spacing w:line="360" w:lineRule="auto"/>
              <w:jc w:val="left"/>
              <w:rPr>
                <w:rFonts w:ascii="华文仿宋" w:hAnsi="华文仿宋" w:eastAsia="华文仿宋" w:cs="宋体"/>
                <w:color w:val="000000"/>
                <w:kern w:val="0"/>
                <w:sz w:val="24"/>
              </w:rPr>
            </w:pPr>
          </w:p>
        </w:tc>
        <w:tc>
          <w:tcPr>
            <w:tcW w:w="0" w:type="auto"/>
            <w:vMerge w:val="restart"/>
            <w:tcBorders>
              <w:top w:val="single" w:color="7E7E7E" w:themeColor="text1" w:themeTint="80" w:sz="4" w:space="0"/>
              <w:bottom w:val="single" w:color="7E7E7E" w:themeColor="text1" w:themeTint="80" w:sz="4" w:space="0"/>
            </w:tcBorders>
          </w:tcPr>
          <w:p w14:paraId="7C629344">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C</w:t>
            </w:r>
            <w:r>
              <w:rPr>
                <w:rFonts w:ascii="华文仿宋" w:hAnsi="华文仿宋" w:eastAsia="华文仿宋" w:cs="宋体"/>
                <w:color w:val="000000"/>
                <w:kern w:val="0"/>
                <w:sz w:val="24"/>
              </w:rPr>
              <w:t>22</w:t>
            </w:r>
          </w:p>
        </w:tc>
        <w:tc>
          <w:tcPr>
            <w:tcW w:w="0" w:type="auto"/>
            <w:tcBorders>
              <w:top w:val="single" w:color="7E7E7E" w:themeColor="text1" w:themeTint="80" w:sz="4" w:space="0"/>
              <w:bottom w:val="single" w:color="7E7E7E" w:themeColor="text1" w:themeTint="80" w:sz="4" w:space="0"/>
            </w:tcBorders>
            <w:noWrap/>
          </w:tcPr>
          <w:p w14:paraId="3D88FA90">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C</w:t>
            </w:r>
            <w:r>
              <w:rPr>
                <w:rFonts w:ascii="华文仿宋" w:hAnsi="华文仿宋" w:eastAsia="华文仿宋" w:cs="宋体"/>
                <w:color w:val="000000"/>
                <w:kern w:val="0"/>
                <w:sz w:val="24"/>
              </w:rPr>
              <w:t>221</w:t>
            </w:r>
          </w:p>
        </w:tc>
        <w:tc>
          <w:tcPr>
            <w:tcW w:w="0" w:type="auto"/>
            <w:tcBorders>
              <w:top w:val="single" w:color="7E7E7E" w:themeColor="text1" w:themeTint="80" w:sz="4" w:space="0"/>
              <w:bottom w:val="single" w:color="7E7E7E" w:themeColor="text1" w:themeTint="80" w:sz="4" w:space="0"/>
            </w:tcBorders>
            <w:noWrap/>
          </w:tcPr>
          <w:p w14:paraId="6F0F9115">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0.2571</w:t>
            </w:r>
          </w:p>
        </w:tc>
        <w:tc>
          <w:tcPr>
            <w:tcW w:w="0" w:type="auto"/>
            <w:tcBorders>
              <w:top w:val="single" w:color="7E7E7E" w:themeColor="text1" w:themeTint="80" w:sz="4" w:space="0"/>
              <w:bottom w:val="single" w:color="7E7E7E" w:themeColor="text1" w:themeTint="80" w:sz="4" w:space="0"/>
            </w:tcBorders>
            <w:noWrap/>
          </w:tcPr>
          <w:p w14:paraId="42FB384E">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-0.17</w:t>
            </w:r>
          </w:p>
        </w:tc>
        <w:tc>
          <w:tcPr>
            <w:tcW w:w="0" w:type="auto"/>
            <w:tcBorders>
              <w:top w:val="single" w:color="7E7E7E" w:themeColor="text1" w:themeTint="80" w:sz="4" w:space="0"/>
              <w:bottom w:val="single" w:color="7E7E7E" w:themeColor="text1" w:themeTint="80" w:sz="4" w:space="0"/>
            </w:tcBorders>
            <w:noWrap/>
          </w:tcPr>
          <w:p w14:paraId="63B685EE">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-0.361</w:t>
            </w:r>
          </w:p>
        </w:tc>
        <w:tc>
          <w:tcPr>
            <w:tcW w:w="0" w:type="auto"/>
            <w:tcBorders>
              <w:top w:val="single" w:color="7E7E7E" w:themeColor="text1" w:themeTint="80" w:sz="4" w:space="0"/>
              <w:bottom w:val="single" w:color="7E7E7E" w:themeColor="text1" w:themeTint="80" w:sz="4" w:space="0"/>
            </w:tcBorders>
            <w:noWrap/>
          </w:tcPr>
          <w:p w14:paraId="27487CC6">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-0.481</w:t>
            </w:r>
          </w:p>
        </w:tc>
        <w:tc>
          <w:tcPr>
            <w:tcW w:w="0" w:type="auto"/>
            <w:tcBorders>
              <w:top w:val="single" w:color="7E7E7E" w:themeColor="text1" w:themeTint="80" w:sz="4" w:space="0"/>
              <w:bottom w:val="single" w:color="7E7E7E" w:themeColor="text1" w:themeTint="80" w:sz="4" w:space="0"/>
            </w:tcBorders>
            <w:noWrap/>
          </w:tcPr>
          <w:p w14:paraId="59418263">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-0.585</w:t>
            </w:r>
          </w:p>
        </w:tc>
      </w:tr>
      <w:tr w14:paraId="7F07E61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 w:hRule="atLeast"/>
          <w:jc w:val="center"/>
        </w:trPr>
        <w:tc>
          <w:tcPr>
            <w:tcW w:w="0" w:type="auto"/>
            <w:vMerge w:val="continue"/>
          </w:tcPr>
          <w:p w14:paraId="1D351A9C">
            <w:pPr>
              <w:widowControl/>
              <w:spacing w:line="360" w:lineRule="auto"/>
              <w:jc w:val="left"/>
              <w:rPr>
                <w:rFonts w:ascii="华文仿宋" w:hAnsi="华文仿宋" w:eastAsia="华文仿宋" w:cs="宋体"/>
                <w:b w:val="0"/>
                <w:bCs w:val="0"/>
                <w:color w:val="000000"/>
                <w:kern w:val="0"/>
                <w:sz w:val="24"/>
              </w:rPr>
            </w:pPr>
          </w:p>
        </w:tc>
        <w:tc>
          <w:tcPr>
            <w:tcW w:w="0" w:type="auto"/>
            <w:vMerge w:val="continue"/>
          </w:tcPr>
          <w:p w14:paraId="26702A8A">
            <w:pPr>
              <w:widowControl/>
              <w:spacing w:line="360" w:lineRule="auto"/>
              <w:jc w:val="left"/>
              <w:rPr>
                <w:rFonts w:ascii="华文仿宋" w:hAnsi="华文仿宋" w:eastAsia="华文仿宋" w:cs="宋体"/>
                <w:color w:val="000000"/>
                <w:kern w:val="0"/>
                <w:sz w:val="24"/>
              </w:rPr>
            </w:pPr>
          </w:p>
        </w:tc>
        <w:tc>
          <w:tcPr>
            <w:tcW w:w="0" w:type="auto"/>
            <w:vMerge w:val="continue"/>
          </w:tcPr>
          <w:p w14:paraId="54F86F10">
            <w:pPr>
              <w:widowControl/>
              <w:spacing w:line="360" w:lineRule="auto"/>
              <w:jc w:val="left"/>
              <w:rPr>
                <w:rFonts w:ascii="华文仿宋" w:hAnsi="华文仿宋" w:eastAsia="华文仿宋" w:cs="宋体"/>
                <w:color w:val="000000"/>
                <w:kern w:val="0"/>
                <w:sz w:val="24"/>
              </w:rPr>
            </w:pPr>
          </w:p>
        </w:tc>
        <w:tc>
          <w:tcPr>
            <w:tcW w:w="0" w:type="auto"/>
            <w:noWrap/>
          </w:tcPr>
          <w:p w14:paraId="00CEA6D7">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C</w:t>
            </w:r>
            <w:r>
              <w:rPr>
                <w:rFonts w:ascii="华文仿宋" w:hAnsi="华文仿宋" w:eastAsia="华文仿宋" w:cs="宋体"/>
                <w:color w:val="000000"/>
                <w:kern w:val="0"/>
                <w:sz w:val="24"/>
              </w:rPr>
              <w:t>222</w:t>
            </w:r>
          </w:p>
        </w:tc>
        <w:tc>
          <w:tcPr>
            <w:tcW w:w="0" w:type="auto"/>
            <w:noWrap/>
          </w:tcPr>
          <w:p w14:paraId="44606710">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2.8333</w:t>
            </w:r>
          </w:p>
        </w:tc>
        <w:tc>
          <w:tcPr>
            <w:tcW w:w="0" w:type="auto"/>
            <w:noWrap/>
          </w:tcPr>
          <w:p w14:paraId="34433701">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-0.425</w:t>
            </w:r>
          </w:p>
        </w:tc>
        <w:tc>
          <w:tcPr>
            <w:tcW w:w="0" w:type="auto"/>
            <w:noWrap/>
          </w:tcPr>
          <w:p w14:paraId="34D92C97">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-0.617</w:t>
            </w:r>
          </w:p>
        </w:tc>
        <w:tc>
          <w:tcPr>
            <w:tcW w:w="0" w:type="auto"/>
            <w:noWrap/>
          </w:tcPr>
          <w:p w14:paraId="45255062">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-0.713</w:t>
            </w:r>
          </w:p>
        </w:tc>
        <w:tc>
          <w:tcPr>
            <w:tcW w:w="0" w:type="auto"/>
            <w:noWrap/>
          </w:tcPr>
          <w:p w14:paraId="40A4B645">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-0.791</w:t>
            </w:r>
          </w:p>
        </w:tc>
      </w:tr>
      <w:tr w14:paraId="210B335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 w:hRule="atLeast"/>
          <w:jc w:val="center"/>
        </w:trPr>
        <w:tc>
          <w:tcPr>
            <w:tcW w:w="0" w:type="auto"/>
            <w:vMerge w:val="continue"/>
            <w:tcBorders>
              <w:top w:val="single" w:color="7E7E7E" w:themeColor="text1" w:themeTint="80" w:sz="4" w:space="0"/>
              <w:bottom w:val="single" w:color="7E7E7E" w:themeColor="text1" w:themeTint="80" w:sz="4" w:space="0"/>
            </w:tcBorders>
          </w:tcPr>
          <w:p w14:paraId="067DEEDB">
            <w:pPr>
              <w:widowControl/>
              <w:spacing w:line="360" w:lineRule="auto"/>
              <w:jc w:val="left"/>
              <w:rPr>
                <w:rFonts w:ascii="华文仿宋" w:hAnsi="华文仿宋" w:eastAsia="华文仿宋" w:cs="宋体"/>
                <w:b w:val="0"/>
                <w:bCs w:val="0"/>
                <w:color w:val="000000"/>
                <w:kern w:val="0"/>
                <w:sz w:val="24"/>
              </w:rPr>
            </w:pPr>
          </w:p>
        </w:tc>
        <w:tc>
          <w:tcPr>
            <w:tcW w:w="0" w:type="auto"/>
            <w:vMerge w:val="restart"/>
            <w:tcBorders>
              <w:top w:val="single" w:color="7E7E7E" w:themeColor="text1" w:themeTint="80" w:sz="4" w:space="0"/>
              <w:bottom w:val="single" w:color="7E7E7E" w:themeColor="text1" w:themeTint="80" w:sz="4" w:space="0"/>
            </w:tcBorders>
          </w:tcPr>
          <w:p w14:paraId="711A5786">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C</w:t>
            </w:r>
            <w:r>
              <w:rPr>
                <w:rFonts w:ascii="华文仿宋" w:hAnsi="华文仿宋" w:eastAsia="华文仿宋" w:cs="宋体"/>
                <w:color w:val="000000"/>
                <w:kern w:val="0"/>
                <w:sz w:val="24"/>
              </w:rPr>
              <w:t>3</w:t>
            </w:r>
          </w:p>
        </w:tc>
        <w:tc>
          <w:tcPr>
            <w:tcW w:w="0" w:type="auto"/>
            <w:tcBorders>
              <w:top w:val="single" w:color="7E7E7E" w:themeColor="text1" w:themeTint="80" w:sz="4" w:space="0"/>
              <w:bottom w:val="single" w:color="7E7E7E" w:themeColor="text1" w:themeTint="80" w:sz="4" w:space="0"/>
            </w:tcBorders>
          </w:tcPr>
          <w:p w14:paraId="75F5373A">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C</w:t>
            </w:r>
            <w:r>
              <w:rPr>
                <w:rFonts w:ascii="华文仿宋" w:hAnsi="华文仿宋" w:eastAsia="华文仿宋" w:cs="宋体"/>
                <w:color w:val="000000"/>
                <w:kern w:val="0"/>
                <w:sz w:val="24"/>
              </w:rPr>
              <w:t>31</w:t>
            </w:r>
          </w:p>
        </w:tc>
        <w:tc>
          <w:tcPr>
            <w:tcW w:w="0" w:type="auto"/>
            <w:tcBorders>
              <w:top w:val="single" w:color="7E7E7E" w:themeColor="text1" w:themeTint="80" w:sz="4" w:space="0"/>
              <w:bottom w:val="single" w:color="7E7E7E" w:themeColor="text1" w:themeTint="80" w:sz="4" w:space="0"/>
            </w:tcBorders>
            <w:noWrap/>
          </w:tcPr>
          <w:p w14:paraId="4E3DA31D">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C</w:t>
            </w:r>
            <w:r>
              <w:rPr>
                <w:rFonts w:ascii="华文仿宋" w:hAnsi="华文仿宋" w:eastAsia="华文仿宋" w:cs="宋体"/>
                <w:color w:val="000000"/>
                <w:kern w:val="0"/>
                <w:sz w:val="24"/>
              </w:rPr>
              <w:t>311</w:t>
            </w:r>
          </w:p>
        </w:tc>
        <w:tc>
          <w:tcPr>
            <w:tcW w:w="0" w:type="auto"/>
            <w:tcBorders>
              <w:top w:val="single" w:color="7E7E7E" w:themeColor="text1" w:themeTint="80" w:sz="4" w:space="0"/>
              <w:bottom w:val="single" w:color="7E7E7E" w:themeColor="text1" w:themeTint="80" w:sz="4" w:space="0"/>
            </w:tcBorders>
            <w:noWrap/>
          </w:tcPr>
          <w:p w14:paraId="03C47703">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0.483</w:t>
            </w:r>
            <w:r>
              <w:rPr>
                <w:rFonts w:ascii="华文仿宋" w:hAnsi="华文仿宋" w:eastAsia="华文仿宋" w:cs="宋体"/>
                <w:color w:val="000000"/>
                <w:kern w:val="0"/>
                <w:sz w:val="24"/>
              </w:rPr>
              <w:t>3</w:t>
            </w:r>
          </w:p>
        </w:tc>
        <w:tc>
          <w:tcPr>
            <w:tcW w:w="0" w:type="auto"/>
            <w:tcBorders>
              <w:top w:val="single" w:color="7E7E7E" w:themeColor="text1" w:themeTint="80" w:sz="4" w:space="0"/>
              <w:bottom w:val="single" w:color="7E7E7E" w:themeColor="text1" w:themeTint="80" w:sz="4" w:space="0"/>
            </w:tcBorders>
            <w:noWrap/>
          </w:tcPr>
          <w:p w14:paraId="4349A543">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-0.246</w:t>
            </w:r>
          </w:p>
        </w:tc>
        <w:tc>
          <w:tcPr>
            <w:tcW w:w="0" w:type="auto"/>
            <w:tcBorders>
              <w:top w:val="single" w:color="7E7E7E" w:themeColor="text1" w:themeTint="80" w:sz="4" w:space="0"/>
              <w:bottom w:val="single" w:color="7E7E7E" w:themeColor="text1" w:themeTint="80" w:sz="4" w:space="0"/>
            </w:tcBorders>
            <w:noWrap/>
          </w:tcPr>
          <w:p w14:paraId="27F41D3C">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-0.497</w:t>
            </w:r>
          </w:p>
        </w:tc>
        <w:tc>
          <w:tcPr>
            <w:tcW w:w="0" w:type="auto"/>
            <w:tcBorders>
              <w:top w:val="single" w:color="7E7E7E" w:themeColor="text1" w:themeTint="80" w:sz="4" w:space="0"/>
              <w:bottom w:val="single" w:color="7E7E7E" w:themeColor="text1" w:themeTint="80" w:sz="4" w:space="0"/>
            </w:tcBorders>
            <w:noWrap/>
          </w:tcPr>
          <w:p w14:paraId="4CA949EC">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-0.623</w:t>
            </w:r>
          </w:p>
        </w:tc>
        <w:tc>
          <w:tcPr>
            <w:tcW w:w="0" w:type="auto"/>
            <w:tcBorders>
              <w:top w:val="single" w:color="7E7E7E" w:themeColor="text1" w:themeTint="80" w:sz="4" w:space="0"/>
              <w:bottom w:val="single" w:color="7E7E7E" w:themeColor="text1" w:themeTint="80" w:sz="4" w:space="0"/>
            </w:tcBorders>
            <w:noWrap/>
          </w:tcPr>
          <w:p w14:paraId="0034540A">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-0.698</w:t>
            </w:r>
          </w:p>
        </w:tc>
      </w:tr>
      <w:tr w14:paraId="111BD47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 w:hRule="atLeast"/>
          <w:jc w:val="center"/>
        </w:trPr>
        <w:tc>
          <w:tcPr>
            <w:tcW w:w="0" w:type="auto"/>
            <w:vMerge w:val="continue"/>
          </w:tcPr>
          <w:p w14:paraId="33E6614E">
            <w:pPr>
              <w:widowControl/>
              <w:spacing w:line="360" w:lineRule="auto"/>
              <w:jc w:val="left"/>
              <w:rPr>
                <w:rFonts w:ascii="华文仿宋" w:hAnsi="华文仿宋" w:eastAsia="华文仿宋" w:cs="宋体"/>
                <w:b w:val="0"/>
                <w:bCs w:val="0"/>
                <w:color w:val="000000"/>
                <w:kern w:val="0"/>
                <w:sz w:val="24"/>
              </w:rPr>
            </w:pPr>
          </w:p>
        </w:tc>
        <w:tc>
          <w:tcPr>
            <w:tcW w:w="0" w:type="auto"/>
            <w:vMerge w:val="continue"/>
          </w:tcPr>
          <w:p w14:paraId="5E556602">
            <w:pPr>
              <w:widowControl/>
              <w:spacing w:line="360" w:lineRule="auto"/>
              <w:jc w:val="left"/>
              <w:rPr>
                <w:rFonts w:ascii="华文仿宋" w:hAnsi="华文仿宋" w:eastAsia="华文仿宋" w:cs="宋体"/>
                <w:color w:val="000000"/>
                <w:kern w:val="0"/>
                <w:sz w:val="24"/>
              </w:rPr>
            </w:pPr>
          </w:p>
        </w:tc>
        <w:tc>
          <w:tcPr>
            <w:tcW w:w="0" w:type="auto"/>
            <w:vMerge w:val="restart"/>
          </w:tcPr>
          <w:p w14:paraId="1C5D87AF">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C</w:t>
            </w:r>
            <w:r>
              <w:rPr>
                <w:rFonts w:ascii="华文仿宋" w:hAnsi="华文仿宋" w:eastAsia="华文仿宋" w:cs="宋体"/>
                <w:color w:val="000000"/>
                <w:kern w:val="0"/>
                <w:sz w:val="24"/>
              </w:rPr>
              <w:t>32</w:t>
            </w:r>
          </w:p>
        </w:tc>
        <w:tc>
          <w:tcPr>
            <w:tcW w:w="0" w:type="auto"/>
            <w:noWrap/>
          </w:tcPr>
          <w:p w14:paraId="5D10CF8B">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C</w:t>
            </w:r>
            <w:r>
              <w:rPr>
                <w:rFonts w:ascii="华文仿宋" w:hAnsi="华文仿宋" w:eastAsia="华文仿宋" w:cs="宋体"/>
                <w:color w:val="000000"/>
                <w:kern w:val="0"/>
                <w:sz w:val="24"/>
              </w:rPr>
              <w:t>321</w:t>
            </w:r>
          </w:p>
        </w:tc>
        <w:tc>
          <w:tcPr>
            <w:tcW w:w="0" w:type="auto"/>
          </w:tcPr>
          <w:p w14:paraId="2A8CDBF7">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-0.6158</w:t>
            </w:r>
          </w:p>
        </w:tc>
        <w:tc>
          <w:tcPr>
            <w:tcW w:w="0" w:type="auto"/>
            <w:noWrap/>
          </w:tcPr>
          <w:p w14:paraId="21EF30B8">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-0.498</w:t>
            </w:r>
          </w:p>
        </w:tc>
        <w:tc>
          <w:tcPr>
            <w:tcW w:w="0" w:type="auto"/>
            <w:noWrap/>
          </w:tcPr>
          <w:p w14:paraId="55D3114F">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-0.347</w:t>
            </w:r>
          </w:p>
        </w:tc>
        <w:tc>
          <w:tcPr>
            <w:tcW w:w="0" w:type="auto"/>
            <w:noWrap/>
          </w:tcPr>
          <w:p w14:paraId="7CACFAEA">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-0.067</w:t>
            </w:r>
          </w:p>
        </w:tc>
        <w:tc>
          <w:tcPr>
            <w:tcW w:w="0" w:type="auto"/>
            <w:noWrap/>
          </w:tcPr>
          <w:p w14:paraId="4E69A196">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0.0774</w:t>
            </w:r>
          </w:p>
        </w:tc>
      </w:tr>
      <w:tr w14:paraId="6250159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 w:hRule="atLeast"/>
          <w:jc w:val="center"/>
        </w:trPr>
        <w:tc>
          <w:tcPr>
            <w:tcW w:w="0" w:type="auto"/>
            <w:vMerge w:val="continue"/>
            <w:tcBorders>
              <w:top w:val="single" w:color="7E7E7E" w:themeColor="text1" w:themeTint="80" w:sz="4" w:space="0"/>
              <w:bottom w:val="single" w:color="7E7E7E" w:themeColor="text1" w:themeTint="80" w:sz="4" w:space="0"/>
            </w:tcBorders>
          </w:tcPr>
          <w:p w14:paraId="261803DF">
            <w:pPr>
              <w:widowControl/>
              <w:spacing w:line="360" w:lineRule="auto"/>
              <w:jc w:val="left"/>
              <w:rPr>
                <w:rFonts w:ascii="华文仿宋" w:hAnsi="华文仿宋" w:eastAsia="华文仿宋" w:cs="宋体"/>
                <w:b w:val="0"/>
                <w:bCs w:val="0"/>
                <w:color w:val="000000"/>
                <w:kern w:val="0"/>
                <w:sz w:val="24"/>
              </w:rPr>
            </w:pPr>
          </w:p>
        </w:tc>
        <w:tc>
          <w:tcPr>
            <w:tcW w:w="0" w:type="auto"/>
            <w:vMerge w:val="continue"/>
            <w:tcBorders>
              <w:top w:val="single" w:color="7E7E7E" w:themeColor="text1" w:themeTint="80" w:sz="4" w:space="0"/>
              <w:bottom w:val="single" w:color="7E7E7E" w:themeColor="text1" w:themeTint="80" w:sz="4" w:space="0"/>
            </w:tcBorders>
          </w:tcPr>
          <w:p w14:paraId="136AE847">
            <w:pPr>
              <w:widowControl/>
              <w:spacing w:line="360" w:lineRule="auto"/>
              <w:jc w:val="left"/>
              <w:rPr>
                <w:rFonts w:ascii="华文仿宋" w:hAnsi="华文仿宋" w:eastAsia="华文仿宋" w:cs="宋体"/>
                <w:color w:val="000000"/>
                <w:kern w:val="0"/>
                <w:sz w:val="24"/>
              </w:rPr>
            </w:pPr>
          </w:p>
        </w:tc>
        <w:tc>
          <w:tcPr>
            <w:tcW w:w="0" w:type="auto"/>
            <w:vMerge w:val="continue"/>
            <w:tcBorders>
              <w:top w:val="single" w:color="7E7E7E" w:themeColor="text1" w:themeTint="80" w:sz="4" w:space="0"/>
              <w:bottom w:val="single" w:color="7E7E7E" w:themeColor="text1" w:themeTint="80" w:sz="4" w:space="0"/>
            </w:tcBorders>
          </w:tcPr>
          <w:p w14:paraId="5304DD26">
            <w:pPr>
              <w:widowControl/>
              <w:spacing w:line="360" w:lineRule="auto"/>
              <w:jc w:val="left"/>
              <w:rPr>
                <w:rFonts w:ascii="华文仿宋" w:hAnsi="华文仿宋" w:eastAsia="华文仿宋" w:cs="宋体"/>
                <w:color w:val="000000"/>
                <w:kern w:val="0"/>
                <w:sz w:val="24"/>
              </w:rPr>
            </w:pPr>
          </w:p>
        </w:tc>
        <w:tc>
          <w:tcPr>
            <w:tcW w:w="0" w:type="auto"/>
            <w:tcBorders>
              <w:top w:val="single" w:color="7E7E7E" w:themeColor="text1" w:themeTint="80" w:sz="4" w:space="0"/>
              <w:bottom w:val="single" w:color="7E7E7E" w:themeColor="text1" w:themeTint="80" w:sz="4" w:space="0"/>
            </w:tcBorders>
            <w:noWrap/>
          </w:tcPr>
          <w:p w14:paraId="6D89750E">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C</w:t>
            </w:r>
            <w:r>
              <w:rPr>
                <w:rFonts w:ascii="华文仿宋" w:hAnsi="华文仿宋" w:eastAsia="华文仿宋" w:cs="宋体"/>
                <w:color w:val="000000"/>
                <w:kern w:val="0"/>
                <w:sz w:val="24"/>
              </w:rPr>
              <w:t>322</w:t>
            </w:r>
          </w:p>
        </w:tc>
        <w:tc>
          <w:tcPr>
            <w:tcW w:w="0" w:type="auto"/>
            <w:tcBorders>
              <w:top w:val="single" w:color="7E7E7E" w:themeColor="text1" w:themeTint="80" w:sz="4" w:space="0"/>
              <w:bottom w:val="single" w:color="7E7E7E" w:themeColor="text1" w:themeTint="80" w:sz="4" w:space="0"/>
            </w:tcBorders>
            <w:noWrap/>
          </w:tcPr>
          <w:p w14:paraId="32D495E7">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-0.4082</w:t>
            </w:r>
          </w:p>
        </w:tc>
        <w:tc>
          <w:tcPr>
            <w:tcW w:w="0" w:type="auto"/>
            <w:tcBorders>
              <w:top w:val="single" w:color="7E7E7E" w:themeColor="text1" w:themeTint="80" w:sz="4" w:space="0"/>
              <w:bottom w:val="single" w:color="7E7E7E" w:themeColor="text1" w:themeTint="80" w:sz="4" w:space="0"/>
            </w:tcBorders>
            <w:noWrap/>
          </w:tcPr>
          <w:p w14:paraId="1975F19D">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-0.168</w:t>
            </w:r>
          </w:p>
        </w:tc>
        <w:tc>
          <w:tcPr>
            <w:tcW w:w="0" w:type="auto"/>
            <w:tcBorders>
              <w:top w:val="single" w:color="7E7E7E" w:themeColor="text1" w:themeTint="80" w:sz="4" w:space="0"/>
              <w:bottom w:val="single" w:color="7E7E7E" w:themeColor="text1" w:themeTint="80" w:sz="4" w:space="0"/>
            </w:tcBorders>
            <w:noWrap/>
          </w:tcPr>
          <w:p w14:paraId="55A60561">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-0.049</w:t>
            </w:r>
          </w:p>
        </w:tc>
        <w:tc>
          <w:tcPr>
            <w:tcW w:w="0" w:type="auto"/>
            <w:tcBorders>
              <w:top w:val="single" w:color="7E7E7E" w:themeColor="text1" w:themeTint="80" w:sz="4" w:space="0"/>
              <w:bottom w:val="single" w:color="7E7E7E" w:themeColor="text1" w:themeTint="80" w:sz="4" w:space="0"/>
            </w:tcBorders>
            <w:noWrap/>
          </w:tcPr>
          <w:p w14:paraId="3A547DAB">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0.0542</w:t>
            </w:r>
          </w:p>
        </w:tc>
        <w:tc>
          <w:tcPr>
            <w:tcW w:w="0" w:type="auto"/>
            <w:tcBorders>
              <w:top w:val="single" w:color="7E7E7E" w:themeColor="text1" w:themeTint="80" w:sz="4" w:space="0"/>
              <w:bottom w:val="single" w:color="7E7E7E" w:themeColor="text1" w:themeTint="80" w:sz="4" w:space="0"/>
            </w:tcBorders>
            <w:noWrap/>
          </w:tcPr>
          <w:p w14:paraId="4180E2AF">
            <w:pPr>
              <w:widowControl/>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-0.12</w:t>
            </w:r>
          </w:p>
        </w:tc>
      </w:tr>
    </w:tbl>
    <w:p w14:paraId="77630B5E">
      <w:pPr>
        <w:spacing w:line="360" w:lineRule="auto"/>
        <w:rPr>
          <w:rFonts w:ascii="华文仿宋" w:hAnsi="华文仿宋" w:eastAsia="华文仿宋"/>
          <w:sz w:val="18"/>
          <w:szCs w:val="20"/>
        </w:rPr>
      </w:pPr>
    </w:p>
    <w:p w14:paraId="2768495C">
      <w:pPr>
        <w:spacing w:line="360" w:lineRule="auto"/>
        <w:ind w:firstLine="440"/>
        <w:jc w:val="center"/>
        <w:rPr>
          <w:rFonts w:ascii="华文仿宋" w:hAnsi="华文仿宋" w:eastAsia="华文仿宋"/>
          <w:b/>
          <w:bCs/>
          <w:sz w:val="22"/>
        </w:rPr>
      </w:pPr>
      <w:r>
        <w:rPr>
          <w:rFonts w:hint="eastAsia" w:ascii="华文仿宋" w:hAnsi="华文仿宋" w:eastAsia="华文仿宋"/>
          <w:b/>
          <w:bCs/>
          <w:sz w:val="22"/>
        </w:rPr>
        <w:t>表2-8</w:t>
      </w:r>
      <w:r>
        <w:rPr>
          <w:rFonts w:ascii="华文仿宋" w:hAnsi="华文仿宋" w:eastAsia="华文仿宋"/>
          <w:b/>
          <w:bCs/>
          <w:sz w:val="22"/>
        </w:rPr>
        <w:t xml:space="preserve"> </w:t>
      </w:r>
      <w:r>
        <w:rPr>
          <w:rFonts w:hint="eastAsia" w:ascii="华文仿宋" w:hAnsi="华文仿宋" w:eastAsia="华文仿宋"/>
          <w:b/>
          <w:bCs/>
          <w:sz w:val="22"/>
        </w:rPr>
        <w:t>目标可拓评价结果</w:t>
      </w:r>
    </w:p>
    <w:tbl>
      <w:tblPr>
        <w:tblStyle w:val="16"/>
        <w:tblW w:w="5000" w:type="pct"/>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11"/>
        <w:gridCol w:w="1114"/>
        <w:gridCol w:w="1112"/>
        <w:gridCol w:w="1170"/>
        <w:gridCol w:w="1170"/>
        <w:gridCol w:w="1002"/>
        <w:gridCol w:w="1012"/>
        <w:gridCol w:w="1165"/>
        <w:gridCol w:w="930"/>
      </w:tblGrid>
      <w:tr w14:paraId="396CB4CB">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1137" w:type="pct"/>
            <w:gridSpan w:val="2"/>
            <w:vMerge w:val="restart"/>
            <w:tcBorders>
              <w:bottom w:val="single" w:color="7E7E7E" w:themeColor="text1" w:themeTint="80" w:sz="4" w:space="0"/>
              <w:insideH w:val="single" w:sz="4" w:space="0"/>
            </w:tcBorders>
            <w:noWrap/>
          </w:tcPr>
          <w:p w14:paraId="1DC93A60">
            <w:pPr>
              <w:widowControl/>
              <w:spacing w:line="360" w:lineRule="auto"/>
              <w:jc w:val="center"/>
              <w:rPr>
                <w:rFonts w:ascii="华文仿宋" w:hAnsi="华文仿宋" w:eastAsia="华文仿宋" w:cs="宋体"/>
                <w:b w:val="0"/>
                <w:bCs w:val="0"/>
                <w:color w:val="000000"/>
                <w:kern w:val="0"/>
                <w:sz w:val="22"/>
                <w:szCs w:val="22"/>
              </w:rPr>
            </w:pPr>
            <w:r>
              <w:rPr>
                <w:rFonts w:hint="eastAsia" w:ascii="华文仿宋" w:hAnsi="华文仿宋" w:eastAsia="华文仿宋" w:cs="宋体"/>
                <w:b/>
                <w:bCs/>
                <w:color w:val="000000"/>
                <w:kern w:val="0"/>
                <w:sz w:val="22"/>
                <w:szCs w:val="22"/>
              </w:rPr>
              <w:t>项目</w:t>
            </w:r>
          </w:p>
        </w:tc>
        <w:tc>
          <w:tcPr>
            <w:tcW w:w="2793" w:type="pct"/>
            <w:gridSpan w:val="5"/>
            <w:tcBorders>
              <w:bottom w:val="single" w:color="7E7E7E" w:themeColor="text1" w:themeTint="80" w:sz="4" w:space="0"/>
              <w:insideH w:val="single" w:sz="4" w:space="0"/>
            </w:tcBorders>
            <w:noWrap/>
          </w:tcPr>
          <w:p w14:paraId="58BE1BE6">
            <w:pPr>
              <w:widowControl/>
              <w:spacing w:line="360" w:lineRule="auto"/>
              <w:jc w:val="center"/>
              <w:rPr>
                <w:rFonts w:ascii="华文仿宋" w:hAnsi="华文仿宋" w:eastAsia="华文仿宋" w:cs="宋体"/>
                <w:b w:val="0"/>
                <w:bCs w:val="0"/>
                <w:color w:val="000000"/>
                <w:kern w:val="0"/>
                <w:sz w:val="22"/>
                <w:szCs w:val="22"/>
              </w:rPr>
            </w:pPr>
            <w:r>
              <w:rPr>
                <w:rFonts w:hint="eastAsia" w:ascii="华文仿宋" w:hAnsi="华文仿宋" w:eastAsia="华文仿宋" w:cs="宋体"/>
                <w:b/>
                <w:bCs/>
                <w:color w:val="000000"/>
                <w:kern w:val="0"/>
                <w:sz w:val="22"/>
                <w:szCs w:val="22"/>
              </w:rPr>
              <w:t>关联度</w:t>
            </w:r>
          </w:p>
        </w:tc>
        <w:tc>
          <w:tcPr>
            <w:tcW w:w="595" w:type="pct"/>
            <w:vMerge w:val="restart"/>
            <w:tcBorders>
              <w:bottom w:val="single" w:color="7E7E7E" w:themeColor="text1" w:themeTint="80" w:sz="4" w:space="0"/>
              <w:insideH w:val="single" w:sz="4" w:space="0"/>
            </w:tcBorders>
            <w:noWrap/>
          </w:tcPr>
          <w:p w14:paraId="4681BA76">
            <w:pPr>
              <w:widowControl/>
              <w:spacing w:line="360" w:lineRule="auto"/>
              <w:jc w:val="center"/>
              <w:rPr>
                <w:rFonts w:ascii="华文仿宋" w:hAnsi="华文仿宋" w:eastAsia="华文仿宋" w:cs="宋体"/>
                <w:b w:val="0"/>
                <w:bCs w:val="0"/>
                <w:color w:val="000000"/>
                <w:kern w:val="0"/>
                <w:sz w:val="22"/>
                <w:szCs w:val="22"/>
              </w:rPr>
            </w:pPr>
            <w:r>
              <w:rPr>
                <w:rFonts w:hint="eastAsia" w:ascii="华文仿宋" w:hAnsi="华文仿宋" w:eastAsia="华文仿宋" w:cs="宋体"/>
                <w:b/>
                <w:bCs/>
                <w:color w:val="000000"/>
                <w:kern w:val="0"/>
                <w:sz w:val="22"/>
                <w:szCs w:val="22"/>
              </w:rPr>
              <w:t>1级指标权重</w:t>
            </w:r>
          </w:p>
        </w:tc>
        <w:tc>
          <w:tcPr>
            <w:tcW w:w="475" w:type="pct"/>
            <w:vMerge w:val="restart"/>
            <w:tcBorders>
              <w:bottom w:val="single" w:color="7E7E7E" w:themeColor="text1" w:themeTint="80" w:sz="4" w:space="0"/>
              <w:insideH w:val="single" w:sz="4" w:space="0"/>
            </w:tcBorders>
            <w:noWrap/>
          </w:tcPr>
          <w:p w14:paraId="2605E608">
            <w:pPr>
              <w:widowControl/>
              <w:spacing w:line="360" w:lineRule="auto"/>
              <w:jc w:val="center"/>
              <w:rPr>
                <w:rFonts w:ascii="华文仿宋" w:hAnsi="华文仿宋" w:eastAsia="华文仿宋" w:cs="宋体"/>
                <w:b w:val="0"/>
                <w:bCs w:val="0"/>
                <w:color w:val="000000"/>
                <w:kern w:val="0"/>
                <w:sz w:val="22"/>
                <w:szCs w:val="22"/>
              </w:rPr>
            </w:pPr>
            <w:r>
              <w:rPr>
                <w:rFonts w:hint="eastAsia" w:ascii="华文仿宋" w:hAnsi="华文仿宋" w:eastAsia="华文仿宋" w:cs="宋体"/>
                <w:b/>
                <w:bCs/>
                <w:color w:val="000000"/>
                <w:kern w:val="0"/>
                <w:sz w:val="22"/>
                <w:szCs w:val="22"/>
              </w:rPr>
              <w:t>所属等级j</w:t>
            </w:r>
          </w:p>
        </w:tc>
      </w:tr>
      <w:tr w14:paraId="3E650BC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1137" w:type="pct"/>
            <w:gridSpan w:val="2"/>
            <w:vMerge w:val="continue"/>
            <w:tcBorders>
              <w:top w:val="single" w:color="7E7E7E" w:themeColor="text1" w:themeTint="80" w:sz="4" w:space="0"/>
              <w:bottom w:val="single" w:color="7E7E7E" w:themeColor="text1" w:themeTint="80" w:sz="4" w:space="0"/>
            </w:tcBorders>
          </w:tcPr>
          <w:p w14:paraId="15B9ADE1">
            <w:pPr>
              <w:widowControl/>
              <w:spacing w:line="360" w:lineRule="auto"/>
              <w:jc w:val="left"/>
              <w:rPr>
                <w:rFonts w:ascii="华文仿宋" w:hAnsi="华文仿宋" w:eastAsia="华文仿宋" w:cs="宋体"/>
                <w:b w:val="0"/>
                <w:bCs w:val="0"/>
                <w:color w:val="000000"/>
                <w:kern w:val="0"/>
                <w:sz w:val="22"/>
                <w:szCs w:val="22"/>
              </w:rPr>
            </w:pPr>
          </w:p>
        </w:tc>
        <w:tc>
          <w:tcPr>
            <w:tcW w:w="568" w:type="pct"/>
            <w:tcBorders>
              <w:top w:val="single" w:color="7E7E7E" w:themeColor="text1" w:themeTint="80" w:sz="4" w:space="0"/>
              <w:bottom w:val="single" w:color="7E7E7E" w:themeColor="text1" w:themeTint="80" w:sz="4" w:space="0"/>
            </w:tcBorders>
            <w:noWrap/>
          </w:tcPr>
          <w:p w14:paraId="64577BF8">
            <w:pPr>
              <w:widowControl/>
              <w:spacing w:line="360" w:lineRule="auto"/>
              <w:jc w:val="center"/>
              <w:rPr>
                <w:rFonts w:ascii="华文仿宋" w:hAnsi="华文仿宋" w:eastAsia="华文仿宋"/>
                <w:color w:val="000000"/>
                <w:kern w:val="0"/>
                <w:sz w:val="22"/>
                <w:szCs w:val="22"/>
              </w:rPr>
            </w:pPr>
            <w:r>
              <w:rPr>
                <w:rFonts w:ascii="华文仿宋" w:hAnsi="华文仿宋" w:eastAsia="华文仿宋"/>
                <w:color w:val="000000"/>
                <w:kern w:val="0"/>
                <w:sz w:val="22"/>
                <w:szCs w:val="22"/>
              </w:rPr>
              <w:t>j=1</w:t>
            </w:r>
          </w:p>
        </w:tc>
        <w:tc>
          <w:tcPr>
            <w:tcW w:w="598" w:type="pct"/>
            <w:tcBorders>
              <w:top w:val="single" w:color="7E7E7E" w:themeColor="text1" w:themeTint="80" w:sz="4" w:space="0"/>
              <w:bottom w:val="single" w:color="7E7E7E" w:themeColor="text1" w:themeTint="80" w:sz="4" w:space="0"/>
            </w:tcBorders>
            <w:noWrap/>
          </w:tcPr>
          <w:p w14:paraId="366871AB">
            <w:pPr>
              <w:widowControl/>
              <w:spacing w:line="360" w:lineRule="auto"/>
              <w:jc w:val="center"/>
              <w:rPr>
                <w:rFonts w:ascii="华文仿宋" w:hAnsi="华文仿宋" w:eastAsia="华文仿宋"/>
                <w:color w:val="000000"/>
                <w:kern w:val="0"/>
                <w:sz w:val="22"/>
                <w:szCs w:val="22"/>
              </w:rPr>
            </w:pPr>
            <w:r>
              <w:rPr>
                <w:rFonts w:ascii="华文仿宋" w:hAnsi="华文仿宋" w:eastAsia="华文仿宋"/>
                <w:color w:val="000000"/>
                <w:kern w:val="0"/>
                <w:sz w:val="22"/>
                <w:szCs w:val="22"/>
              </w:rPr>
              <w:t>j=2</w:t>
            </w:r>
          </w:p>
        </w:tc>
        <w:tc>
          <w:tcPr>
            <w:tcW w:w="598" w:type="pct"/>
            <w:tcBorders>
              <w:top w:val="single" w:color="7E7E7E" w:themeColor="text1" w:themeTint="80" w:sz="4" w:space="0"/>
              <w:bottom w:val="single" w:color="7E7E7E" w:themeColor="text1" w:themeTint="80" w:sz="4" w:space="0"/>
            </w:tcBorders>
            <w:noWrap/>
          </w:tcPr>
          <w:p w14:paraId="36B90BFD">
            <w:pPr>
              <w:widowControl/>
              <w:spacing w:line="360" w:lineRule="auto"/>
              <w:jc w:val="center"/>
              <w:rPr>
                <w:rFonts w:ascii="华文仿宋" w:hAnsi="华文仿宋" w:eastAsia="华文仿宋"/>
                <w:color w:val="000000"/>
                <w:kern w:val="0"/>
                <w:sz w:val="22"/>
                <w:szCs w:val="22"/>
              </w:rPr>
            </w:pPr>
            <w:r>
              <w:rPr>
                <w:rFonts w:ascii="华文仿宋" w:hAnsi="华文仿宋" w:eastAsia="华文仿宋"/>
                <w:color w:val="000000"/>
                <w:kern w:val="0"/>
                <w:sz w:val="22"/>
                <w:szCs w:val="22"/>
              </w:rPr>
              <w:t>j=3</w:t>
            </w:r>
          </w:p>
        </w:tc>
        <w:tc>
          <w:tcPr>
            <w:tcW w:w="512" w:type="pct"/>
            <w:tcBorders>
              <w:top w:val="single" w:color="7E7E7E" w:themeColor="text1" w:themeTint="80" w:sz="4" w:space="0"/>
              <w:bottom w:val="single" w:color="7E7E7E" w:themeColor="text1" w:themeTint="80" w:sz="4" w:space="0"/>
            </w:tcBorders>
            <w:noWrap/>
          </w:tcPr>
          <w:p w14:paraId="11B2EF15">
            <w:pPr>
              <w:widowControl/>
              <w:spacing w:line="360" w:lineRule="auto"/>
              <w:jc w:val="center"/>
              <w:rPr>
                <w:rFonts w:ascii="华文仿宋" w:hAnsi="华文仿宋" w:eastAsia="华文仿宋"/>
                <w:color w:val="000000"/>
                <w:kern w:val="0"/>
                <w:sz w:val="22"/>
                <w:szCs w:val="22"/>
              </w:rPr>
            </w:pPr>
            <w:r>
              <w:rPr>
                <w:rFonts w:ascii="华文仿宋" w:hAnsi="华文仿宋" w:eastAsia="华文仿宋"/>
                <w:color w:val="000000"/>
                <w:kern w:val="0"/>
                <w:sz w:val="22"/>
                <w:szCs w:val="22"/>
              </w:rPr>
              <w:t>j=4</w:t>
            </w:r>
          </w:p>
        </w:tc>
        <w:tc>
          <w:tcPr>
            <w:tcW w:w="517" w:type="pct"/>
            <w:tcBorders>
              <w:top w:val="single" w:color="7E7E7E" w:themeColor="text1" w:themeTint="80" w:sz="4" w:space="0"/>
              <w:bottom w:val="single" w:color="7E7E7E" w:themeColor="text1" w:themeTint="80" w:sz="4" w:space="0"/>
            </w:tcBorders>
            <w:noWrap/>
          </w:tcPr>
          <w:p w14:paraId="42A239EF">
            <w:pPr>
              <w:widowControl/>
              <w:spacing w:line="360" w:lineRule="auto"/>
              <w:jc w:val="center"/>
              <w:rPr>
                <w:rFonts w:ascii="华文仿宋" w:hAnsi="华文仿宋" w:eastAsia="华文仿宋"/>
                <w:color w:val="000000"/>
                <w:kern w:val="0"/>
                <w:sz w:val="22"/>
                <w:szCs w:val="22"/>
              </w:rPr>
            </w:pPr>
            <w:r>
              <w:rPr>
                <w:rFonts w:ascii="华文仿宋" w:hAnsi="华文仿宋" w:eastAsia="华文仿宋"/>
                <w:color w:val="000000"/>
                <w:kern w:val="0"/>
                <w:sz w:val="22"/>
                <w:szCs w:val="22"/>
              </w:rPr>
              <w:t>j=5</w:t>
            </w:r>
          </w:p>
        </w:tc>
        <w:tc>
          <w:tcPr>
            <w:tcW w:w="595" w:type="pct"/>
            <w:vMerge w:val="continue"/>
            <w:tcBorders>
              <w:top w:val="single" w:color="7E7E7E" w:themeColor="text1" w:themeTint="80" w:sz="4" w:space="0"/>
              <w:bottom w:val="single" w:color="7E7E7E" w:themeColor="text1" w:themeTint="80" w:sz="4" w:space="0"/>
            </w:tcBorders>
          </w:tcPr>
          <w:p w14:paraId="46CF9CC3">
            <w:pPr>
              <w:widowControl/>
              <w:spacing w:line="360" w:lineRule="auto"/>
              <w:jc w:val="left"/>
              <w:rPr>
                <w:rFonts w:ascii="华文仿宋" w:hAnsi="华文仿宋" w:eastAsia="华文仿宋" w:cs="宋体"/>
                <w:color w:val="000000"/>
                <w:kern w:val="0"/>
                <w:sz w:val="22"/>
                <w:szCs w:val="22"/>
              </w:rPr>
            </w:pPr>
          </w:p>
        </w:tc>
        <w:tc>
          <w:tcPr>
            <w:tcW w:w="475" w:type="pct"/>
            <w:vMerge w:val="continue"/>
            <w:tcBorders>
              <w:top w:val="single" w:color="7E7E7E" w:themeColor="text1" w:themeTint="80" w:sz="4" w:space="0"/>
              <w:bottom w:val="single" w:color="7E7E7E" w:themeColor="text1" w:themeTint="80" w:sz="4" w:space="0"/>
            </w:tcBorders>
          </w:tcPr>
          <w:p w14:paraId="5EA96F5B">
            <w:pPr>
              <w:widowControl/>
              <w:spacing w:line="360" w:lineRule="auto"/>
              <w:jc w:val="left"/>
              <w:rPr>
                <w:rFonts w:ascii="华文仿宋" w:hAnsi="华文仿宋" w:eastAsia="华文仿宋" w:cs="宋体"/>
                <w:color w:val="000000"/>
                <w:kern w:val="0"/>
                <w:sz w:val="22"/>
                <w:szCs w:val="22"/>
              </w:rPr>
            </w:pPr>
          </w:p>
        </w:tc>
      </w:tr>
      <w:tr w14:paraId="5193678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8" w:type="pct"/>
            <w:vMerge w:val="restart"/>
            <w:noWrap/>
          </w:tcPr>
          <w:p w14:paraId="1B8D3C1D">
            <w:pPr>
              <w:widowControl/>
              <w:spacing w:line="360" w:lineRule="auto"/>
              <w:jc w:val="center"/>
              <w:rPr>
                <w:rFonts w:ascii="华文仿宋" w:hAnsi="华文仿宋" w:eastAsia="华文仿宋" w:cs="宋体"/>
                <w:b w:val="0"/>
                <w:bCs w:val="0"/>
                <w:color w:val="000000"/>
                <w:kern w:val="0"/>
                <w:sz w:val="22"/>
                <w:szCs w:val="22"/>
              </w:rPr>
            </w:pPr>
            <w:r>
              <w:rPr>
                <w:rFonts w:hint="eastAsia" w:ascii="华文仿宋" w:hAnsi="华文仿宋" w:eastAsia="华文仿宋" w:cs="宋体"/>
                <w:b/>
                <w:bCs/>
                <w:color w:val="000000"/>
                <w:kern w:val="0"/>
                <w:sz w:val="22"/>
                <w:szCs w:val="22"/>
              </w:rPr>
              <w:t>一级指标</w:t>
            </w:r>
          </w:p>
        </w:tc>
        <w:tc>
          <w:tcPr>
            <w:tcW w:w="569" w:type="pct"/>
            <w:noWrap/>
          </w:tcPr>
          <w:p w14:paraId="51CDE755">
            <w:pPr>
              <w:widowControl/>
              <w:spacing w:line="360" w:lineRule="auto"/>
              <w:jc w:val="center"/>
              <w:rPr>
                <w:rFonts w:ascii="华文仿宋" w:hAnsi="华文仿宋" w:eastAsia="华文仿宋" w:cs="宋体"/>
                <w:color w:val="000000"/>
                <w:kern w:val="0"/>
                <w:sz w:val="22"/>
                <w:szCs w:val="22"/>
              </w:rPr>
            </w:pPr>
            <w:r>
              <w:rPr>
                <w:rFonts w:hint="eastAsia" w:ascii="华文仿宋" w:hAnsi="华文仿宋" w:eastAsia="华文仿宋" w:cs="宋体"/>
                <w:color w:val="000000"/>
                <w:kern w:val="0"/>
                <w:sz w:val="22"/>
                <w:szCs w:val="22"/>
              </w:rPr>
              <w:t>总量规模</w:t>
            </w:r>
          </w:p>
        </w:tc>
        <w:tc>
          <w:tcPr>
            <w:tcW w:w="568" w:type="pct"/>
            <w:noWrap/>
          </w:tcPr>
          <w:p w14:paraId="564FFF5F">
            <w:pPr>
              <w:widowControl/>
              <w:spacing w:line="360" w:lineRule="auto"/>
              <w:jc w:val="center"/>
              <w:rPr>
                <w:rFonts w:ascii="华文仿宋" w:hAnsi="华文仿宋" w:eastAsia="华文仿宋" w:cs="宋体"/>
                <w:color w:val="000000"/>
                <w:kern w:val="0"/>
                <w:sz w:val="22"/>
                <w:szCs w:val="22"/>
              </w:rPr>
            </w:pPr>
            <w:r>
              <w:rPr>
                <w:rFonts w:hint="eastAsia" w:ascii="华文仿宋" w:hAnsi="华文仿宋" w:eastAsia="华文仿宋" w:cs="宋体"/>
                <w:color w:val="000000"/>
                <w:kern w:val="0"/>
                <w:sz w:val="22"/>
                <w:szCs w:val="22"/>
              </w:rPr>
              <w:t>0.151</w:t>
            </w:r>
          </w:p>
        </w:tc>
        <w:tc>
          <w:tcPr>
            <w:tcW w:w="598" w:type="pct"/>
            <w:noWrap/>
          </w:tcPr>
          <w:p w14:paraId="6B476659">
            <w:pPr>
              <w:widowControl/>
              <w:spacing w:line="360" w:lineRule="auto"/>
              <w:jc w:val="center"/>
              <w:rPr>
                <w:rFonts w:ascii="华文仿宋" w:hAnsi="华文仿宋" w:eastAsia="华文仿宋" w:cs="宋体"/>
                <w:color w:val="000000"/>
                <w:kern w:val="0"/>
                <w:sz w:val="22"/>
                <w:szCs w:val="22"/>
              </w:rPr>
            </w:pPr>
            <w:r>
              <w:rPr>
                <w:rFonts w:hint="eastAsia" w:ascii="华文仿宋" w:hAnsi="华文仿宋" w:eastAsia="华文仿宋" w:cs="宋体"/>
                <w:color w:val="000000"/>
                <w:kern w:val="0"/>
                <w:sz w:val="22"/>
                <w:szCs w:val="22"/>
              </w:rPr>
              <w:t>-0.108</w:t>
            </w:r>
          </w:p>
        </w:tc>
        <w:tc>
          <w:tcPr>
            <w:tcW w:w="598" w:type="pct"/>
            <w:noWrap/>
          </w:tcPr>
          <w:p w14:paraId="01C1E19C">
            <w:pPr>
              <w:widowControl/>
              <w:spacing w:line="360" w:lineRule="auto"/>
              <w:jc w:val="center"/>
              <w:rPr>
                <w:rFonts w:ascii="华文仿宋" w:hAnsi="华文仿宋" w:eastAsia="华文仿宋" w:cs="宋体"/>
                <w:color w:val="000000"/>
                <w:kern w:val="0"/>
                <w:sz w:val="22"/>
                <w:szCs w:val="22"/>
              </w:rPr>
            </w:pPr>
            <w:r>
              <w:rPr>
                <w:rFonts w:hint="eastAsia" w:ascii="华文仿宋" w:hAnsi="华文仿宋" w:eastAsia="华文仿宋" w:cs="宋体"/>
                <w:color w:val="000000"/>
                <w:kern w:val="0"/>
                <w:sz w:val="22"/>
                <w:szCs w:val="22"/>
              </w:rPr>
              <w:t>-0.357</w:t>
            </w:r>
          </w:p>
        </w:tc>
        <w:tc>
          <w:tcPr>
            <w:tcW w:w="512" w:type="pct"/>
            <w:noWrap/>
          </w:tcPr>
          <w:p w14:paraId="3C78BDB5">
            <w:pPr>
              <w:widowControl/>
              <w:spacing w:line="360" w:lineRule="auto"/>
              <w:jc w:val="center"/>
              <w:rPr>
                <w:rFonts w:ascii="华文仿宋" w:hAnsi="华文仿宋" w:eastAsia="华文仿宋" w:cs="宋体"/>
                <w:color w:val="000000"/>
                <w:kern w:val="0"/>
                <w:sz w:val="22"/>
                <w:szCs w:val="22"/>
              </w:rPr>
            </w:pPr>
            <w:r>
              <w:rPr>
                <w:rFonts w:hint="eastAsia" w:ascii="华文仿宋" w:hAnsi="华文仿宋" w:eastAsia="华文仿宋" w:cs="宋体"/>
                <w:color w:val="000000"/>
                <w:kern w:val="0"/>
                <w:sz w:val="22"/>
                <w:szCs w:val="22"/>
              </w:rPr>
              <w:t>-0.613</w:t>
            </w:r>
          </w:p>
        </w:tc>
        <w:tc>
          <w:tcPr>
            <w:tcW w:w="517" w:type="pct"/>
            <w:noWrap/>
          </w:tcPr>
          <w:p w14:paraId="7ECCF438">
            <w:pPr>
              <w:widowControl/>
              <w:spacing w:line="360" w:lineRule="auto"/>
              <w:jc w:val="center"/>
              <w:rPr>
                <w:rFonts w:ascii="华文仿宋" w:hAnsi="华文仿宋" w:eastAsia="华文仿宋" w:cs="宋体"/>
                <w:color w:val="000000"/>
                <w:kern w:val="0"/>
                <w:sz w:val="22"/>
                <w:szCs w:val="22"/>
              </w:rPr>
            </w:pPr>
            <w:r>
              <w:rPr>
                <w:rFonts w:hint="eastAsia" w:ascii="华文仿宋" w:hAnsi="华文仿宋" w:eastAsia="华文仿宋" w:cs="宋体"/>
                <w:color w:val="000000"/>
                <w:kern w:val="0"/>
                <w:sz w:val="22"/>
                <w:szCs w:val="22"/>
              </w:rPr>
              <w:t>-0.708</w:t>
            </w:r>
          </w:p>
        </w:tc>
        <w:tc>
          <w:tcPr>
            <w:tcW w:w="595" w:type="pct"/>
            <w:noWrap/>
          </w:tcPr>
          <w:p w14:paraId="19E67983">
            <w:pPr>
              <w:widowControl/>
              <w:spacing w:line="360" w:lineRule="auto"/>
              <w:jc w:val="center"/>
              <w:rPr>
                <w:rFonts w:ascii="华文仿宋" w:hAnsi="华文仿宋" w:eastAsia="华文仿宋" w:cs="宋体"/>
                <w:color w:val="000000"/>
                <w:kern w:val="0"/>
                <w:sz w:val="22"/>
                <w:szCs w:val="22"/>
              </w:rPr>
            </w:pPr>
            <w:r>
              <w:rPr>
                <w:rFonts w:hint="eastAsia" w:ascii="华文仿宋" w:hAnsi="华文仿宋" w:eastAsia="华文仿宋" w:cs="宋体"/>
                <w:color w:val="000000"/>
                <w:kern w:val="0"/>
                <w:sz w:val="22"/>
                <w:szCs w:val="22"/>
              </w:rPr>
              <w:t>0.5</w:t>
            </w:r>
          </w:p>
        </w:tc>
        <w:tc>
          <w:tcPr>
            <w:tcW w:w="475" w:type="pct"/>
            <w:noWrap/>
          </w:tcPr>
          <w:p w14:paraId="6F73964C">
            <w:pPr>
              <w:widowControl/>
              <w:spacing w:line="360" w:lineRule="auto"/>
              <w:jc w:val="center"/>
              <w:rPr>
                <w:rFonts w:ascii="华文仿宋" w:hAnsi="华文仿宋" w:eastAsia="华文仿宋" w:cs="宋体"/>
                <w:color w:val="000000"/>
                <w:kern w:val="0"/>
                <w:sz w:val="22"/>
                <w:szCs w:val="22"/>
              </w:rPr>
            </w:pPr>
            <w:r>
              <w:rPr>
                <w:rFonts w:hint="eastAsia" w:ascii="华文仿宋" w:hAnsi="华文仿宋" w:eastAsia="华文仿宋" w:cs="宋体"/>
                <w:color w:val="000000"/>
                <w:kern w:val="0"/>
                <w:sz w:val="22"/>
                <w:szCs w:val="22"/>
              </w:rPr>
              <w:t>1</w:t>
            </w:r>
          </w:p>
        </w:tc>
      </w:tr>
      <w:tr w14:paraId="46A0F36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8" w:type="pct"/>
            <w:vMerge w:val="continue"/>
            <w:tcBorders>
              <w:top w:val="single" w:color="7E7E7E" w:themeColor="text1" w:themeTint="80" w:sz="4" w:space="0"/>
              <w:bottom w:val="single" w:color="7E7E7E" w:themeColor="text1" w:themeTint="80" w:sz="4" w:space="0"/>
            </w:tcBorders>
          </w:tcPr>
          <w:p w14:paraId="48DB679A">
            <w:pPr>
              <w:widowControl/>
              <w:spacing w:line="360" w:lineRule="auto"/>
              <w:jc w:val="left"/>
              <w:rPr>
                <w:rFonts w:ascii="华文仿宋" w:hAnsi="华文仿宋" w:eastAsia="华文仿宋" w:cs="宋体"/>
                <w:b w:val="0"/>
                <w:bCs w:val="0"/>
                <w:color w:val="000000"/>
                <w:kern w:val="0"/>
                <w:sz w:val="22"/>
                <w:szCs w:val="22"/>
              </w:rPr>
            </w:pPr>
          </w:p>
        </w:tc>
        <w:tc>
          <w:tcPr>
            <w:tcW w:w="569" w:type="pct"/>
            <w:tcBorders>
              <w:top w:val="single" w:color="7E7E7E" w:themeColor="text1" w:themeTint="80" w:sz="4" w:space="0"/>
              <w:bottom w:val="single" w:color="7E7E7E" w:themeColor="text1" w:themeTint="80" w:sz="4" w:space="0"/>
            </w:tcBorders>
            <w:noWrap/>
          </w:tcPr>
          <w:p w14:paraId="5F3397AA">
            <w:pPr>
              <w:widowControl/>
              <w:spacing w:line="360" w:lineRule="auto"/>
              <w:jc w:val="center"/>
              <w:rPr>
                <w:rFonts w:ascii="华文仿宋" w:hAnsi="华文仿宋" w:eastAsia="华文仿宋" w:cs="宋体"/>
                <w:color w:val="000000"/>
                <w:kern w:val="0"/>
                <w:sz w:val="22"/>
                <w:szCs w:val="22"/>
              </w:rPr>
            </w:pPr>
            <w:r>
              <w:rPr>
                <w:rFonts w:hint="eastAsia" w:ascii="华文仿宋" w:hAnsi="华文仿宋" w:eastAsia="华文仿宋" w:cs="宋体"/>
                <w:color w:val="000000"/>
                <w:kern w:val="0"/>
                <w:sz w:val="22"/>
                <w:szCs w:val="22"/>
              </w:rPr>
              <w:t>运输结构</w:t>
            </w:r>
          </w:p>
        </w:tc>
        <w:tc>
          <w:tcPr>
            <w:tcW w:w="568" w:type="pct"/>
            <w:tcBorders>
              <w:top w:val="single" w:color="7E7E7E" w:themeColor="text1" w:themeTint="80" w:sz="4" w:space="0"/>
              <w:bottom w:val="single" w:color="7E7E7E" w:themeColor="text1" w:themeTint="80" w:sz="4" w:space="0"/>
            </w:tcBorders>
            <w:noWrap/>
          </w:tcPr>
          <w:p w14:paraId="0BA24AB9">
            <w:pPr>
              <w:widowControl/>
              <w:spacing w:line="360" w:lineRule="auto"/>
              <w:jc w:val="center"/>
              <w:rPr>
                <w:rFonts w:ascii="华文仿宋" w:hAnsi="华文仿宋" w:eastAsia="华文仿宋" w:cs="宋体"/>
                <w:color w:val="000000"/>
                <w:kern w:val="0"/>
                <w:sz w:val="22"/>
                <w:szCs w:val="22"/>
              </w:rPr>
            </w:pPr>
            <w:r>
              <w:rPr>
                <w:rFonts w:hint="eastAsia" w:ascii="华文仿宋" w:hAnsi="华文仿宋" w:eastAsia="华文仿宋" w:cs="宋体"/>
                <w:color w:val="000000"/>
                <w:kern w:val="0"/>
                <w:sz w:val="22"/>
                <w:szCs w:val="22"/>
              </w:rPr>
              <w:t>0.857</w:t>
            </w:r>
          </w:p>
        </w:tc>
        <w:tc>
          <w:tcPr>
            <w:tcW w:w="598" w:type="pct"/>
            <w:tcBorders>
              <w:top w:val="single" w:color="7E7E7E" w:themeColor="text1" w:themeTint="80" w:sz="4" w:space="0"/>
              <w:bottom w:val="single" w:color="7E7E7E" w:themeColor="text1" w:themeTint="80" w:sz="4" w:space="0"/>
            </w:tcBorders>
            <w:noWrap/>
          </w:tcPr>
          <w:p w14:paraId="3043CCEA">
            <w:pPr>
              <w:widowControl/>
              <w:spacing w:line="360" w:lineRule="auto"/>
              <w:jc w:val="center"/>
              <w:rPr>
                <w:rFonts w:ascii="华文仿宋" w:hAnsi="华文仿宋" w:eastAsia="华文仿宋" w:cs="宋体"/>
                <w:color w:val="000000"/>
                <w:kern w:val="0"/>
                <w:sz w:val="22"/>
                <w:szCs w:val="22"/>
              </w:rPr>
            </w:pPr>
            <w:r>
              <w:rPr>
                <w:rFonts w:hint="eastAsia" w:ascii="华文仿宋" w:hAnsi="华文仿宋" w:eastAsia="华文仿宋" w:cs="宋体"/>
                <w:color w:val="000000"/>
                <w:kern w:val="0"/>
                <w:sz w:val="22"/>
                <w:szCs w:val="22"/>
              </w:rPr>
              <w:t>-0.194</w:t>
            </w:r>
          </w:p>
        </w:tc>
        <w:tc>
          <w:tcPr>
            <w:tcW w:w="598" w:type="pct"/>
            <w:tcBorders>
              <w:top w:val="single" w:color="7E7E7E" w:themeColor="text1" w:themeTint="80" w:sz="4" w:space="0"/>
              <w:bottom w:val="single" w:color="7E7E7E" w:themeColor="text1" w:themeTint="80" w:sz="4" w:space="0"/>
            </w:tcBorders>
            <w:noWrap/>
          </w:tcPr>
          <w:p w14:paraId="44CF32D9">
            <w:pPr>
              <w:widowControl/>
              <w:spacing w:line="360" w:lineRule="auto"/>
              <w:jc w:val="center"/>
              <w:rPr>
                <w:rFonts w:ascii="华文仿宋" w:hAnsi="华文仿宋" w:eastAsia="华文仿宋" w:cs="宋体"/>
                <w:color w:val="000000"/>
                <w:kern w:val="0"/>
                <w:sz w:val="22"/>
                <w:szCs w:val="22"/>
              </w:rPr>
            </w:pPr>
            <w:r>
              <w:rPr>
                <w:rFonts w:hint="eastAsia" w:ascii="华文仿宋" w:hAnsi="华文仿宋" w:eastAsia="华文仿宋" w:cs="宋体"/>
                <w:color w:val="000000"/>
                <w:kern w:val="0"/>
                <w:sz w:val="22"/>
                <w:szCs w:val="22"/>
              </w:rPr>
              <w:t>-0.37992</w:t>
            </w:r>
          </w:p>
        </w:tc>
        <w:tc>
          <w:tcPr>
            <w:tcW w:w="512" w:type="pct"/>
            <w:tcBorders>
              <w:top w:val="single" w:color="7E7E7E" w:themeColor="text1" w:themeTint="80" w:sz="4" w:space="0"/>
              <w:bottom w:val="single" w:color="7E7E7E" w:themeColor="text1" w:themeTint="80" w:sz="4" w:space="0"/>
            </w:tcBorders>
            <w:noWrap/>
          </w:tcPr>
          <w:p w14:paraId="6DE72474">
            <w:pPr>
              <w:widowControl/>
              <w:spacing w:line="360" w:lineRule="auto"/>
              <w:jc w:val="center"/>
              <w:rPr>
                <w:rFonts w:ascii="华文仿宋" w:hAnsi="华文仿宋" w:eastAsia="华文仿宋" w:cs="宋体"/>
                <w:color w:val="000000"/>
                <w:kern w:val="0"/>
                <w:sz w:val="22"/>
                <w:szCs w:val="22"/>
              </w:rPr>
            </w:pPr>
            <w:r>
              <w:rPr>
                <w:rFonts w:hint="eastAsia" w:ascii="华文仿宋" w:hAnsi="华文仿宋" w:eastAsia="华文仿宋" w:cs="宋体"/>
                <w:color w:val="000000"/>
                <w:kern w:val="0"/>
                <w:sz w:val="22"/>
                <w:szCs w:val="22"/>
              </w:rPr>
              <w:t>-0.523</w:t>
            </w:r>
          </w:p>
        </w:tc>
        <w:tc>
          <w:tcPr>
            <w:tcW w:w="517" w:type="pct"/>
            <w:tcBorders>
              <w:top w:val="single" w:color="7E7E7E" w:themeColor="text1" w:themeTint="80" w:sz="4" w:space="0"/>
              <w:bottom w:val="single" w:color="7E7E7E" w:themeColor="text1" w:themeTint="80" w:sz="4" w:space="0"/>
            </w:tcBorders>
            <w:noWrap/>
          </w:tcPr>
          <w:p w14:paraId="000F899C">
            <w:pPr>
              <w:widowControl/>
              <w:spacing w:line="360" w:lineRule="auto"/>
              <w:jc w:val="center"/>
              <w:rPr>
                <w:rFonts w:ascii="华文仿宋" w:hAnsi="华文仿宋" w:eastAsia="华文仿宋" w:cs="宋体"/>
                <w:color w:val="000000"/>
                <w:kern w:val="0"/>
                <w:sz w:val="22"/>
                <w:szCs w:val="22"/>
              </w:rPr>
            </w:pPr>
            <w:r>
              <w:rPr>
                <w:rFonts w:hint="eastAsia" w:ascii="华文仿宋" w:hAnsi="华文仿宋" w:eastAsia="华文仿宋" w:cs="宋体"/>
                <w:color w:val="000000"/>
                <w:kern w:val="0"/>
                <w:sz w:val="22"/>
                <w:szCs w:val="22"/>
              </w:rPr>
              <w:t>-0.620</w:t>
            </w:r>
          </w:p>
        </w:tc>
        <w:tc>
          <w:tcPr>
            <w:tcW w:w="595" w:type="pct"/>
            <w:tcBorders>
              <w:top w:val="single" w:color="7E7E7E" w:themeColor="text1" w:themeTint="80" w:sz="4" w:space="0"/>
              <w:bottom w:val="single" w:color="7E7E7E" w:themeColor="text1" w:themeTint="80" w:sz="4" w:space="0"/>
            </w:tcBorders>
            <w:noWrap/>
          </w:tcPr>
          <w:p w14:paraId="43255ED7">
            <w:pPr>
              <w:widowControl/>
              <w:spacing w:line="360" w:lineRule="auto"/>
              <w:jc w:val="center"/>
              <w:rPr>
                <w:rFonts w:ascii="华文仿宋" w:hAnsi="华文仿宋" w:eastAsia="华文仿宋" w:cs="宋体"/>
                <w:color w:val="000000"/>
                <w:kern w:val="0"/>
                <w:sz w:val="22"/>
                <w:szCs w:val="22"/>
              </w:rPr>
            </w:pPr>
            <w:r>
              <w:rPr>
                <w:rFonts w:hint="eastAsia" w:ascii="华文仿宋" w:hAnsi="华文仿宋" w:eastAsia="华文仿宋" w:cs="宋体"/>
                <w:color w:val="000000"/>
                <w:kern w:val="0"/>
                <w:sz w:val="22"/>
                <w:szCs w:val="22"/>
              </w:rPr>
              <w:t>0.3333</w:t>
            </w:r>
          </w:p>
        </w:tc>
        <w:tc>
          <w:tcPr>
            <w:tcW w:w="475" w:type="pct"/>
            <w:tcBorders>
              <w:top w:val="single" w:color="7E7E7E" w:themeColor="text1" w:themeTint="80" w:sz="4" w:space="0"/>
              <w:bottom w:val="single" w:color="7E7E7E" w:themeColor="text1" w:themeTint="80" w:sz="4" w:space="0"/>
            </w:tcBorders>
            <w:noWrap/>
          </w:tcPr>
          <w:p w14:paraId="2004C0E5">
            <w:pPr>
              <w:widowControl/>
              <w:spacing w:line="360" w:lineRule="auto"/>
              <w:jc w:val="center"/>
              <w:rPr>
                <w:rFonts w:ascii="华文仿宋" w:hAnsi="华文仿宋" w:eastAsia="华文仿宋" w:cs="宋体"/>
                <w:color w:val="000000"/>
                <w:kern w:val="0"/>
                <w:sz w:val="22"/>
                <w:szCs w:val="22"/>
              </w:rPr>
            </w:pPr>
            <w:r>
              <w:rPr>
                <w:rFonts w:hint="eastAsia" w:ascii="华文仿宋" w:hAnsi="华文仿宋" w:eastAsia="华文仿宋" w:cs="宋体"/>
                <w:color w:val="000000"/>
                <w:kern w:val="0"/>
                <w:sz w:val="22"/>
                <w:szCs w:val="22"/>
              </w:rPr>
              <w:t>1</w:t>
            </w:r>
          </w:p>
        </w:tc>
      </w:tr>
      <w:tr w14:paraId="70310C6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68" w:type="pct"/>
            <w:vMerge w:val="continue"/>
          </w:tcPr>
          <w:p w14:paraId="286B3778">
            <w:pPr>
              <w:widowControl/>
              <w:spacing w:line="360" w:lineRule="auto"/>
              <w:jc w:val="left"/>
              <w:rPr>
                <w:rFonts w:ascii="华文仿宋" w:hAnsi="华文仿宋" w:eastAsia="华文仿宋" w:cs="宋体"/>
                <w:b w:val="0"/>
                <w:bCs w:val="0"/>
                <w:color w:val="000000"/>
                <w:kern w:val="0"/>
                <w:sz w:val="22"/>
                <w:szCs w:val="22"/>
              </w:rPr>
            </w:pPr>
          </w:p>
        </w:tc>
        <w:tc>
          <w:tcPr>
            <w:tcW w:w="569" w:type="pct"/>
            <w:noWrap/>
          </w:tcPr>
          <w:p w14:paraId="43463F60">
            <w:pPr>
              <w:widowControl/>
              <w:spacing w:line="360" w:lineRule="auto"/>
              <w:jc w:val="center"/>
              <w:rPr>
                <w:rFonts w:ascii="华文仿宋" w:hAnsi="华文仿宋" w:eastAsia="华文仿宋" w:cs="宋体"/>
                <w:color w:val="000000"/>
                <w:kern w:val="0"/>
                <w:sz w:val="22"/>
                <w:szCs w:val="22"/>
              </w:rPr>
            </w:pPr>
            <w:r>
              <w:rPr>
                <w:rFonts w:hint="eastAsia" w:ascii="华文仿宋" w:hAnsi="华文仿宋" w:eastAsia="华文仿宋" w:cs="宋体"/>
                <w:color w:val="000000"/>
                <w:kern w:val="0"/>
                <w:sz w:val="22"/>
                <w:szCs w:val="22"/>
              </w:rPr>
              <w:t>服务水平</w:t>
            </w:r>
          </w:p>
        </w:tc>
        <w:tc>
          <w:tcPr>
            <w:tcW w:w="568" w:type="pct"/>
            <w:noWrap/>
          </w:tcPr>
          <w:p w14:paraId="1E7B057C">
            <w:pPr>
              <w:widowControl/>
              <w:spacing w:line="360" w:lineRule="auto"/>
              <w:jc w:val="center"/>
              <w:rPr>
                <w:rFonts w:ascii="华文仿宋" w:hAnsi="华文仿宋" w:eastAsia="华文仿宋" w:cs="宋体"/>
                <w:color w:val="000000"/>
                <w:kern w:val="0"/>
                <w:sz w:val="22"/>
                <w:szCs w:val="22"/>
              </w:rPr>
            </w:pPr>
            <w:r>
              <w:rPr>
                <w:rFonts w:hint="eastAsia" w:ascii="华文仿宋" w:hAnsi="华文仿宋" w:eastAsia="华文仿宋" w:cs="宋体"/>
                <w:color w:val="000000"/>
                <w:kern w:val="0"/>
                <w:sz w:val="22"/>
                <w:szCs w:val="22"/>
              </w:rPr>
              <w:t>-0.157</w:t>
            </w:r>
          </w:p>
        </w:tc>
        <w:tc>
          <w:tcPr>
            <w:tcW w:w="598" w:type="pct"/>
            <w:noWrap/>
          </w:tcPr>
          <w:p w14:paraId="495ACA34">
            <w:pPr>
              <w:widowControl/>
              <w:spacing w:line="360" w:lineRule="auto"/>
              <w:jc w:val="center"/>
              <w:rPr>
                <w:rFonts w:ascii="华文仿宋" w:hAnsi="华文仿宋" w:eastAsia="华文仿宋" w:cs="宋体"/>
                <w:color w:val="000000"/>
                <w:kern w:val="0"/>
                <w:sz w:val="22"/>
                <w:szCs w:val="22"/>
              </w:rPr>
            </w:pPr>
            <w:r>
              <w:rPr>
                <w:rFonts w:hint="eastAsia" w:ascii="华文仿宋" w:hAnsi="华文仿宋" w:eastAsia="华文仿宋" w:cs="宋体"/>
                <w:color w:val="000000"/>
                <w:kern w:val="0"/>
                <w:sz w:val="22"/>
                <w:szCs w:val="22"/>
              </w:rPr>
              <w:t>-0.292</w:t>
            </w:r>
          </w:p>
        </w:tc>
        <w:tc>
          <w:tcPr>
            <w:tcW w:w="598" w:type="pct"/>
            <w:noWrap/>
          </w:tcPr>
          <w:p w14:paraId="300D1D7F">
            <w:pPr>
              <w:widowControl/>
              <w:spacing w:line="360" w:lineRule="auto"/>
              <w:jc w:val="center"/>
              <w:rPr>
                <w:rFonts w:ascii="华文仿宋" w:hAnsi="华文仿宋" w:eastAsia="华文仿宋" w:cs="宋体"/>
                <w:color w:val="000000"/>
                <w:kern w:val="0"/>
                <w:sz w:val="22"/>
                <w:szCs w:val="22"/>
              </w:rPr>
            </w:pPr>
            <w:r>
              <w:rPr>
                <w:rFonts w:hint="eastAsia" w:ascii="华文仿宋" w:hAnsi="华文仿宋" w:eastAsia="华文仿宋" w:cs="宋体"/>
                <w:color w:val="000000"/>
                <w:kern w:val="0"/>
                <w:sz w:val="22"/>
                <w:szCs w:val="22"/>
              </w:rPr>
              <w:t>-0.293</w:t>
            </w:r>
          </w:p>
        </w:tc>
        <w:tc>
          <w:tcPr>
            <w:tcW w:w="512" w:type="pct"/>
            <w:noWrap/>
          </w:tcPr>
          <w:p w14:paraId="545E2CAC">
            <w:pPr>
              <w:widowControl/>
              <w:spacing w:line="360" w:lineRule="auto"/>
              <w:jc w:val="center"/>
              <w:rPr>
                <w:rFonts w:ascii="华文仿宋" w:hAnsi="华文仿宋" w:eastAsia="华文仿宋" w:cs="宋体"/>
                <w:color w:val="000000"/>
                <w:kern w:val="0"/>
                <w:sz w:val="22"/>
                <w:szCs w:val="22"/>
              </w:rPr>
            </w:pPr>
            <w:r>
              <w:rPr>
                <w:rFonts w:hint="eastAsia" w:ascii="华文仿宋" w:hAnsi="华文仿宋" w:eastAsia="华文仿宋" w:cs="宋体"/>
                <w:color w:val="000000"/>
                <w:kern w:val="0"/>
                <w:sz w:val="22"/>
                <w:szCs w:val="22"/>
              </w:rPr>
              <w:t>-0.218</w:t>
            </w:r>
          </w:p>
        </w:tc>
        <w:tc>
          <w:tcPr>
            <w:tcW w:w="517" w:type="pct"/>
            <w:noWrap/>
          </w:tcPr>
          <w:p w14:paraId="1581C4F3">
            <w:pPr>
              <w:widowControl/>
              <w:spacing w:line="360" w:lineRule="auto"/>
              <w:jc w:val="center"/>
              <w:rPr>
                <w:rFonts w:ascii="华文仿宋" w:hAnsi="华文仿宋" w:eastAsia="华文仿宋" w:cs="宋体"/>
                <w:color w:val="000000"/>
                <w:kern w:val="0"/>
                <w:sz w:val="22"/>
                <w:szCs w:val="22"/>
              </w:rPr>
            </w:pPr>
            <w:r>
              <w:rPr>
                <w:rFonts w:hint="eastAsia" w:ascii="华文仿宋" w:hAnsi="华文仿宋" w:eastAsia="华文仿宋" w:cs="宋体"/>
                <w:color w:val="000000"/>
                <w:kern w:val="0"/>
                <w:sz w:val="22"/>
                <w:szCs w:val="22"/>
              </w:rPr>
              <w:t>-0.265</w:t>
            </w:r>
          </w:p>
        </w:tc>
        <w:tc>
          <w:tcPr>
            <w:tcW w:w="595" w:type="pct"/>
            <w:noWrap/>
          </w:tcPr>
          <w:p w14:paraId="596E7B1F">
            <w:pPr>
              <w:widowControl/>
              <w:spacing w:line="360" w:lineRule="auto"/>
              <w:jc w:val="center"/>
              <w:rPr>
                <w:rFonts w:ascii="华文仿宋" w:hAnsi="华文仿宋" w:eastAsia="华文仿宋" w:cs="宋体"/>
                <w:color w:val="000000"/>
                <w:kern w:val="0"/>
                <w:sz w:val="22"/>
                <w:szCs w:val="22"/>
              </w:rPr>
            </w:pPr>
            <w:r>
              <w:rPr>
                <w:rFonts w:hint="eastAsia" w:ascii="华文仿宋" w:hAnsi="华文仿宋" w:eastAsia="华文仿宋" w:cs="宋体"/>
                <w:color w:val="000000"/>
                <w:kern w:val="0"/>
                <w:sz w:val="22"/>
                <w:szCs w:val="22"/>
              </w:rPr>
              <w:t>0.1667</w:t>
            </w:r>
          </w:p>
        </w:tc>
        <w:tc>
          <w:tcPr>
            <w:tcW w:w="475" w:type="pct"/>
            <w:noWrap/>
          </w:tcPr>
          <w:p w14:paraId="66014FE1">
            <w:pPr>
              <w:widowControl/>
              <w:spacing w:line="360" w:lineRule="auto"/>
              <w:jc w:val="center"/>
              <w:rPr>
                <w:rFonts w:ascii="华文仿宋" w:hAnsi="华文仿宋" w:eastAsia="华文仿宋" w:cs="宋体"/>
                <w:color w:val="000000"/>
                <w:kern w:val="0"/>
                <w:sz w:val="22"/>
                <w:szCs w:val="22"/>
              </w:rPr>
            </w:pPr>
            <w:r>
              <w:rPr>
                <w:rFonts w:hint="eastAsia" w:ascii="华文仿宋" w:hAnsi="华文仿宋" w:eastAsia="华文仿宋" w:cs="宋体"/>
                <w:color w:val="000000"/>
                <w:kern w:val="0"/>
                <w:sz w:val="22"/>
                <w:szCs w:val="22"/>
              </w:rPr>
              <w:t>1</w:t>
            </w:r>
          </w:p>
        </w:tc>
      </w:tr>
      <w:tr w14:paraId="5B1367B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1137" w:type="pct"/>
            <w:gridSpan w:val="2"/>
            <w:tcBorders>
              <w:top w:val="single" w:color="7E7E7E" w:themeColor="text1" w:themeTint="80" w:sz="4" w:space="0"/>
              <w:bottom w:val="single" w:color="7E7E7E" w:themeColor="text1" w:themeTint="80" w:sz="4" w:space="0"/>
            </w:tcBorders>
            <w:noWrap/>
          </w:tcPr>
          <w:p w14:paraId="3D25D252">
            <w:pPr>
              <w:widowControl/>
              <w:spacing w:line="360" w:lineRule="auto"/>
              <w:jc w:val="center"/>
              <w:rPr>
                <w:rFonts w:ascii="华文仿宋" w:hAnsi="华文仿宋" w:eastAsia="华文仿宋" w:cs="宋体"/>
                <w:b w:val="0"/>
                <w:bCs w:val="0"/>
                <w:color w:val="000000"/>
                <w:kern w:val="0"/>
                <w:sz w:val="22"/>
                <w:szCs w:val="22"/>
              </w:rPr>
            </w:pPr>
            <w:r>
              <w:rPr>
                <w:rFonts w:hint="eastAsia" w:ascii="华文仿宋" w:hAnsi="华文仿宋" w:eastAsia="华文仿宋" w:cs="宋体"/>
                <w:b/>
                <w:bCs/>
                <w:color w:val="000000"/>
                <w:kern w:val="0"/>
                <w:sz w:val="22"/>
                <w:szCs w:val="22"/>
              </w:rPr>
              <w:t>目标层</w:t>
            </w:r>
          </w:p>
        </w:tc>
        <w:tc>
          <w:tcPr>
            <w:tcW w:w="568" w:type="pct"/>
            <w:tcBorders>
              <w:top w:val="single" w:color="7E7E7E" w:themeColor="text1" w:themeTint="80" w:sz="4" w:space="0"/>
              <w:bottom w:val="single" w:color="7E7E7E" w:themeColor="text1" w:themeTint="80" w:sz="4" w:space="0"/>
            </w:tcBorders>
            <w:noWrap/>
          </w:tcPr>
          <w:p w14:paraId="4E2A9602">
            <w:pPr>
              <w:widowControl/>
              <w:spacing w:line="360" w:lineRule="auto"/>
              <w:jc w:val="center"/>
              <w:rPr>
                <w:rFonts w:ascii="华文仿宋" w:hAnsi="华文仿宋" w:eastAsia="华文仿宋" w:cs="宋体"/>
                <w:color w:val="000000"/>
                <w:kern w:val="0"/>
                <w:sz w:val="22"/>
                <w:szCs w:val="22"/>
              </w:rPr>
            </w:pPr>
            <w:r>
              <w:rPr>
                <w:rFonts w:hint="eastAsia" w:ascii="华文仿宋" w:hAnsi="华文仿宋" w:eastAsia="华文仿宋" w:cs="宋体"/>
                <w:color w:val="000000"/>
                <w:kern w:val="0"/>
                <w:sz w:val="22"/>
                <w:szCs w:val="22"/>
              </w:rPr>
              <w:t>0.332</w:t>
            </w:r>
          </w:p>
        </w:tc>
        <w:tc>
          <w:tcPr>
            <w:tcW w:w="598" w:type="pct"/>
            <w:tcBorders>
              <w:top w:val="single" w:color="7E7E7E" w:themeColor="text1" w:themeTint="80" w:sz="4" w:space="0"/>
              <w:bottom w:val="single" w:color="7E7E7E" w:themeColor="text1" w:themeTint="80" w:sz="4" w:space="0"/>
            </w:tcBorders>
            <w:noWrap/>
          </w:tcPr>
          <w:p w14:paraId="58383436">
            <w:pPr>
              <w:widowControl/>
              <w:spacing w:line="360" w:lineRule="auto"/>
              <w:jc w:val="center"/>
              <w:rPr>
                <w:rFonts w:ascii="华文仿宋" w:hAnsi="华文仿宋" w:eastAsia="华文仿宋" w:cs="宋体"/>
                <w:color w:val="000000"/>
                <w:kern w:val="0"/>
                <w:sz w:val="22"/>
                <w:szCs w:val="22"/>
              </w:rPr>
            </w:pPr>
            <w:r>
              <w:rPr>
                <w:rFonts w:hint="eastAsia" w:ascii="华文仿宋" w:hAnsi="华文仿宋" w:eastAsia="华文仿宋" w:cs="宋体"/>
                <w:color w:val="000000"/>
                <w:kern w:val="0"/>
                <w:sz w:val="22"/>
                <w:szCs w:val="22"/>
              </w:rPr>
              <w:t xml:space="preserve">-0.168 </w:t>
            </w:r>
          </w:p>
        </w:tc>
        <w:tc>
          <w:tcPr>
            <w:tcW w:w="598" w:type="pct"/>
            <w:tcBorders>
              <w:top w:val="single" w:color="7E7E7E" w:themeColor="text1" w:themeTint="80" w:sz="4" w:space="0"/>
              <w:bottom w:val="single" w:color="7E7E7E" w:themeColor="text1" w:themeTint="80" w:sz="4" w:space="0"/>
            </w:tcBorders>
            <w:noWrap/>
          </w:tcPr>
          <w:p w14:paraId="6A943092">
            <w:pPr>
              <w:widowControl/>
              <w:spacing w:line="360" w:lineRule="auto"/>
              <w:jc w:val="center"/>
              <w:rPr>
                <w:rFonts w:ascii="华文仿宋" w:hAnsi="华文仿宋" w:eastAsia="华文仿宋" w:cs="宋体"/>
                <w:color w:val="000000"/>
                <w:kern w:val="0"/>
                <w:sz w:val="22"/>
                <w:szCs w:val="22"/>
              </w:rPr>
            </w:pPr>
            <w:r>
              <w:rPr>
                <w:rFonts w:hint="eastAsia" w:ascii="华文仿宋" w:hAnsi="华文仿宋" w:eastAsia="华文仿宋" w:cs="宋体"/>
                <w:color w:val="000000"/>
                <w:kern w:val="0"/>
                <w:sz w:val="22"/>
                <w:szCs w:val="22"/>
              </w:rPr>
              <w:t>-0.353</w:t>
            </w:r>
          </w:p>
        </w:tc>
        <w:tc>
          <w:tcPr>
            <w:tcW w:w="512" w:type="pct"/>
            <w:tcBorders>
              <w:top w:val="single" w:color="7E7E7E" w:themeColor="text1" w:themeTint="80" w:sz="4" w:space="0"/>
              <w:bottom w:val="single" w:color="7E7E7E" w:themeColor="text1" w:themeTint="80" w:sz="4" w:space="0"/>
            </w:tcBorders>
            <w:noWrap/>
          </w:tcPr>
          <w:p w14:paraId="318EC7C0">
            <w:pPr>
              <w:widowControl/>
              <w:spacing w:line="360" w:lineRule="auto"/>
              <w:jc w:val="center"/>
              <w:rPr>
                <w:rFonts w:ascii="华文仿宋" w:hAnsi="华文仿宋" w:eastAsia="华文仿宋" w:cs="宋体"/>
                <w:color w:val="000000"/>
                <w:kern w:val="0"/>
                <w:sz w:val="22"/>
                <w:szCs w:val="22"/>
              </w:rPr>
            </w:pPr>
            <w:r>
              <w:rPr>
                <w:rFonts w:hint="eastAsia" w:ascii="华文仿宋" w:hAnsi="华文仿宋" w:eastAsia="华文仿宋" w:cs="宋体"/>
                <w:color w:val="000000"/>
                <w:kern w:val="0"/>
                <w:sz w:val="22"/>
                <w:szCs w:val="22"/>
              </w:rPr>
              <w:t xml:space="preserve">-0.516 </w:t>
            </w:r>
          </w:p>
        </w:tc>
        <w:tc>
          <w:tcPr>
            <w:tcW w:w="517" w:type="pct"/>
            <w:tcBorders>
              <w:top w:val="single" w:color="7E7E7E" w:themeColor="text1" w:themeTint="80" w:sz="4" w:space="0"/>
              <w:bottom w:val="single" w:color="7E7E7E" w:themeColor="text1" w:themeTint="80" w:sz="4" w:space="0"/>
            </w:tcBorders>
            <w:noWrap/>
          </w:tcPr>
          <w:p w14:paraId="5BBE5095">
            <w:pPr>
              <w:widowControl/>
              <w:spacing w:line="360" w:lineRule="auto"/>
              <w:jc w:val="center"/>
              <w:rPr>
                <w:rFonts w:ascii="华文仿宋" w:hAnsi="华文仿宋" w:eastAsia="华文仿宋" w:cs="宋体"/>
                <w:color w:val="000000"/>
                <w:kern w:val="0"/>
                <w:sz w:val="22"/>
                <w:szCs w:val="22"/>
              </w:rPr>
            </w:pPr>
            <w:r>
              <w:rPr>
                <w:rFonts w:hint="eastAsia" w:ascii="华文仿宋" w:hAnsi="华文仿宋" w:eastAsia="华文仿宋" w:cs="宋体"/>
                <w:color w:val="000000"/>
                <w:kern w:val="0"/>
                <w:sz w:val="22"/>
                <w:szCs w:val="22"/>
              </w:rPr>
              <w:t>-0.603</w:t>
            </w:r>
          </w:p>
        </w:tc>
        <w:tc>
          <w:tcPr>
            <w:tcW w:w="595" w:type="pct"/>
            <w:tcBorders>
              <w:top w:val="single" w:color="7E7E7E" w:themeColor="text1" w:themeTint="80" w:sz="4" w:space="0"/>
              <w:bottom w:val="single" w:color="7E7E7E" w:themeColor="text1" w:themeTint="80" w:sz="4" w:space="0"/>
            </w:tcBorders>
            <w:noWrap/>
          </w:tcPr>
          <w:p w14:paraId="1A43EA3E">
            <w:pPr>
              <w:widowControl/>
              <w:spacing w:line="360" w:lineRule="auto"/>
              <w:jc w:val="center"/>
              <w:rPr>
                <w:rFonts w:ascii="华文仿宋" w:hAnsi="华文仿宋" w:eastAsia="华文仿宋" w:cs="宋体"/>
                <w:color w:val="000000"/>
                <w:kern w:val="0"/>
                <w:sz w:val="22"/>
                <w:szCs w:val="22"/>
              </w:rPr>
            </w:pPr>
            <w:r>
              <w:rPr>
                <w:rFonts w:hint="eastAsia" w:ascii="华文仿宋" w:hAnsi="华文仿宋" w:eastAsia="华文仿宋" w:cs="宋体"/>
                <w:color w:val="000000"/>
                <w:kern w:val="0"/>
                <w:sz w:val="22"/>
                <w:szCs w:val="22"/>
              </w:rPr>
              <w:t>　</w:t>
            </w:r>
          </w:p>
        </w:tc>
        <w:tc>
          <w:tcPr>
            <w:tcW w:w="475" w:type="pct"/>
            <w:tcBorders>
              <w:top w:val="single" w:color="7E7E7E" w:themeColor="text1" w:themeTint="80" w:sz="4" w:space="0"/>
              <w:bottom w:val="single" w:color="7E7E7E" w:themeColor="text1" w:themeTint="80" w:sz="4" w:space="0"/>
            </w:tcBorders>
            <w:noWrap/>
          </w:tcPr>
          <w:p w14:paraId="0FE0D0F6">
            <w:pPr>
              <w:widowControl/>
              <w:spacing w:line="360" w:lineRule="auto"/>
              <w:jc w:val="center"/>
              <w:rPr>
                <w:rFonts w:ascii="华文仿宋" w:hAnsi="华文仿宋" w:eastAsia="华文仿宋" w:cs="宋体"/>
                <w:color w:val="000000"/>
                <w:kern w:val="0"/>
                <w:sz w:val="22"/>
                <w:szCs w:val="22"/>
              </w:rPr>
            </w:pPr>
            <w:r>
              <w:rPr>
                <w:rFonts w:hint="eastAsia" w:ascii="华文仿宋" w:hAnsi="华文仿宋" w:eastAsia="华文仿宋" w:cs="宋体"/>
                <w:color w:val="000000"/>
                <w:kern w:val="0"/>
                <w:sz w:val="22"/>
                <w:szCs w:val="22"/>
              </w:rPr>
              <w:t>1</w:t>
            </w:r>
          </w:p>
        </w:tc>
      </w:tr>
    </w:tbl>
    <w:p w14:paraId="3F22BBC6">
      <w:pPr>
        <w:spacing w:line="360" w:lineRule="auto"/>
        <w:rPr>
          <w:rFonts w:ascii="华文仿宋" w:hAnsi="华文仿宋" w:eastAsia="华文仿宋"/>
        </w:rPr>
      </w:pPr>
    </w:p>
    <w:p w14:paraId="0802EA4A">
      <w:pPr>
        <w:spacing w:line="360" w:lineRule="auto"/>
        <w:ind w:firstLine="480"/>
        <w:rPr>
          <w:rFonts w:ascii="华文仿宋" w:hAnsi="华文仿宋" w:eastAsia="华文仿宋"/>
          <w:sz w:val="28"/>
          <w:szCs w:val="28"/>
        </w:rPr>
      </w:pPr>
      <w:r>
        <w:rPr>
          <w:rFonts w:hint="eastAsia" w:ascii="华文仿宋" w:hAnsi="华文仿宋" w:eastAsia="华文仿宋"/>
          <w:sz w:val="28"/>
          <w:szCs w:val="28"/>
        </w:rPr>
        <w:t>由表2-8可得，目标即突泉县交通系统经济适应性评价等级为1级，即为“滞后”。突泉县交通基础设施建设薄弱，至今仍未开通铁路，通用机场尚未建成，无法建立成熟的交通体系，交通水平需加快提升，才能满足社会经济发展，人们对于交通运输提出的更高的要求。</w:t>
      </w:r>
    </w:p>
    <w:p w14:paraId="6E65EC31">
      <w:pPr>
        <w:spacing w:line="360" w:lineRule="auto"/>
        <w:ind w:firstLine="560" w:firstLineChars="200"/>
        <w:rPr>
          <w:rFonts w:ascii="仿宋" w:hAnsi="仿宋" w:eastAsia="仿宋" w:cs="仿宋"/>
          <w:sz w:val="28"/>
          <w:szCs w:val="28"/>
        </w:rPr>
        <w:sectPr>
          <w:pgSz w:w="11910" w:h="16840"/>
          <w:pgMar w:top="1340" w:right="880" w:bottom="1040" w:left="1460" w:header="874" w:footer="853" w:gutter="0"/>
          <w:cols w:space="720" w:num="1"/>
        </w:sectPr>
      </w:pPr>
    </w:p>
    <w:p w14:paraId="44D7C03E">
      <w:pPr>
        <w:pStyle w:val="3"/>
      </w:pPr>
      <w:r>
        <w:rPr>
          <w:rFonts w:hint="eastAsia"/>
        </w:rPr>
        <w:t>四、综合运输发展重点</w:t>
      </w:r>
    </w:p>
    <w:p w14:paraId="4CA5CFF2"/>
    <w:p w14:paraId="454404B4">
      <w:pPr>
        <w:pStyle w:val="4"/>
        <w:ind w:firstLine="472" w:firstLineChars="147"/>
        <w:rPr>
          <w:rFonts w:ascii="黑体" w:hAnsi="黑体" w:eastAsia="黑体"/>
          <w:color w:val="000000"/>
        </w:rPr>
      </w:pPr>
      <w:bookmarkStart w:id="20" w:name="_Toc37147855"/>
      <w:r>
        <w:rPr>
          <w:rFonts w:ascii="黑体" w:hAnsi="黑体" w:eastAsia="黑体"/>
          <w:color w:val="000000"/>
        </w:rPr>
        <w:t>（</w:t>
      </w:r>
      <w:r>
        <w:rPr>
          <w:rFonts w:hint="eastAsia" w:ascii="黑体" w:hAnsi="黑体" w:eastAsia="黑体"/>
          <w:color w:val="000000"/>
        </w:rPr>
        <w:t>一</w:t>
      </w:r>
      <w:r>
        <w:rPr>
          <w:rFonts w:ascii="黑体" w:hAnsi="黑体" w:eastAsia="黑体"/>
          <w:color w:val="000000"/>
        </w:rPr>
        <w:t>）</w:t>
      </w:r>
      <w:r>
        <w:rPr>
          <w:rFonts w:hint="eastAsia" w:ascii="黑体" w:hAnsi="黑体" w:eastAsia="黑体"/>
          <w:color w:val="000000"/>
        </w:rPr>
        <w:t>公路</w:t>
      </w:r>
      <w:bookmarkEnd w:id="20"/>
    </w:p>
    <w:p w14:paraId="592E775A">
      <w:pPr>
        <w:spacing w:line="360" w:lineRule="auto"/>
        <w:ind w:firstLine="600" w:firstLineChars="200"/>
        <w:rPr>
          <w:rFonts w:ascii="仿宋" w:hAnsi="仿宋" w:eastAsia="仿宋"/>
          <w:color w:val="000000"/>
          <w:sz w:val="30"/>
          <w:szCs w:val="30"/>
        </w:rPr>
      </w:pPr>
      <w:r>
        <w:rPr>
          <w:rFonts w:hint="eastAsia" w:ascii="仿宋" w:hAnsi="仿宋" w:eastAsia="仿宋"/>
          <w:color w:val="000000"/>
          <w:sz w:val="30"/>
          <w:szCs w:val="30"/>
        </w:rPr>
        <w:t>突泉县干线公路网布局的主要思路为：研究经济、社会、环境及交通发展的需求，分析路网层次结构和功能定位，确定干线公路网布局目标；以规划目标为导向，分析路网合理形态、连接节点，衔接国家、内蒙古自治区、周边州市干线公路规划，结合旅游发展、综合运输、对外通道等多种因素进行研究；结合建设条件、环境影响、交通需求和路网效率因素进行布局优化；广征意见，确定最后布局方案。</w:t>
      </w:r>
    </w:p>
    <w:p w14:paraId="79A6EDB0">
      <w:pPr>
        <w:spacing w:line="360" w:lineRule="auto"/>
        <w:ind w:firstLine="602" w:firstLineChars="200"/>
        <w:rPr>
          <w:rFonts w:ascii="仿宋" w:hAnsi="仿宋" w:eastAsia="仿宋"/>
          <w:color w:val="000000"/>
          <w:sz w:val="30"/>
          <w:szCs w:val="30"/>
        </w:rPr>
      </w:pPr>
      <w:r>
        <w:rPr>
          <w:rFonts w:hint="eastAsia" w:ascii="仿宋" w:hAnsi="仿宋" w:eastAsia="仿宋"/>
          <w:b/>
          <w:color w:val="000000"/>
          <w:sz w:val="30"/>
          <w:szCs w:val="30"/>
        </w:rPr>
        <w:t>规划目标：</w:t>
      </w:r>
    </w:p>
    <w:p w14:paraId="272A8520">
      <w:pPr>
        <w:spacing w:line="360" w:lineRule="auto"/>
        <w:ind w:firstLine="600" w:firstLineChars="200"/>
        <w:rPr>
          <w:rFonts w:ascii="仿宋" w:hAnsi="仿宋" w:eastAsia="仿宋"/>
          <w:color w:val="000000"/>
          <w:sz w:val="30"/>
          <w:szCs w:val="30"/>
        </w:rPr>
      </w:pPr>
      <w:r>
        <w:rPr>
          <w:rFonts w:hint="eastAsia" w:ascii="仿宋" w:hAnsi="仿宋" w:eastAsia="仿宋"/>
          <w:color w:val="000000"/>
          <w:sz w:val="30"/>
          <w:szCs w:val="30"/>
        </w:rPr>
        <w:t>（1）构筑与周边市区的出入通道，形成通往周边省份的快速通道。</w:t>
      </w:r>
    </w:p>
    <w:p w14:paraId="2FA1945A">
      <w:pPr>
        <w:spacing w:line="360" w:lineRule="auto"/>
        <w:ind w:firstLine="600" w:firstLineChars="200"/>
        <w:rPr>
          <w:rFonts w:ascii="仿宋" w:hAnsi="仿宋" w:eastAsia="仿宋"/>
          <w:color w:val="000000"/>
          <w:sz w:val="30"/>
          <w:szCs w:val="30"/>
        </w:rPr>
      </w:pPr>
      <w:r>
        <w:rPr>
          <w:rFonts w:hint="eastAsia" w:ascii="仿宋" w:hAnsi="仿宋" w:eastAsia="仿宋"/>
          <w:color w:val="000000"/>
          <w:sz w:val="30"/>
          <w:szCs w:val="30"/>
        </w:rPr>
        <w:t>（2）构筑以高等级公路连接市域所有区、县，形成市区、县城、重点乡、镇逐级连接的快捷网络，有效连接相邻城市，形成城镇密集区干线网络。</w:t>
      </w:r>
    </w:p>
    <w:p w14:paraId="1DF2862A">
      <w:pPr>
        <w:spacing w:line="360" w:lineRule="auto"/>
        <w:ind w:firstLine="600" w:firstLineChars="200"/>
        <w:rPr>
          <w:rFonts w:ascii="仿宋" w:hAnsi="仿宋" w:eastAsia="仿宋"/>
          <w:color w:val="000000"/>
          <w:sz w:val="30"/>
          <w:szCs w:val="30"/>
        </w:rPr>
      </w:pPr>
      <w:r>
        <w:rPr>
          <w:rFonts w:hint="eastAsia" w:ascii="仿宋" w:hAnsi="仿宋" w:eastAsia="仿宋"/>
          <w:color w:val="000000"/>
          <w:sz w:val="30"/>
          <w:szCs w:val="30"/>
        </w:rPr>
        <w:t>（3）构筑旅游通道，促进旅游业发展，逐步形成连接重要旅游景区的快速网络。</w:t>
      </w:r>
    </w:p>
    <w:p w14:paraId="4A6DD591">
      <w:pPr>
        <w:spacing w:line="360" w:lineRule="auto"/>
        <w:ind w:firstLine="600" w:firstLineChars="200"/>
        <w:rPr>
          <w:rFonts w:ascii="仿宋" w:hAnsi="仿宋" w:eastAsia="仿宋"/>
          <w:color w:val="000000"/>
          <w:sz w:val="30"/>
          <w:szCs w:val="30"/>
        </w:rPr>
      </w:pPr>
      <w:r>
        <w:rPr>
          <w:rFonts w:hint="eastAsia" w:ascii="仿宋" w:hAnsi="仿宋" w:eastAsia="仿宋"/>
          <w:color w:val="000000"/>
          <w:sz w:val="30"/>
          <w:szCs w:val="30"/>
        </w:rPr>
        <w:t>（4）构筑完善的农村公路网，实现所有乡镇之间公路通畅，行政村公路通畅化和自然村公路通畅化。</w:t>
      </w:r>
    </w:p>
    <w:p w14:paraId="09521727">
      <w:pPr>
        <w:ind w:firstLine="600" w:firstLineChars="200"/>
        <w:rPr>
          <w:rFonts w:ascii="仿宋" w:hAnsi="仿宋" w:eastAsia="仿宋"/>
          <w:color w:val="000000"/>
          <w:sz w:val="30"/>
          <w:szCs w:val="30"/>
        </w:rPr>
      </w:pPr>
      <w:bookmarkStart w:id="21" w:name="_Toc37147856"/>
      <w:r>
        <w:rPr>
          <w:rFonts w:hint="eastAsia" w:ascii="仿宋" w:hAnsi="仿宋" w:eastAsia="仿宋"/>
          <w:color w:val="000000"/>
          <w:sz w:val="30"/>
          <w:szCs w:val="30"/>
        </w:rPr>
        <w:t>（1）</w:t>
      </w:r>
      <w:r>
        <w:rPr>
          <w:rFonts w:ascii="仿宋" w:hAnsi="仿宋" w:eastAsia="仿宋"/>
          <w:color w:val="000000"/>
          <w:sz w:val="30"/>
          <w:szCs w:val="30"/>
        </w:rPr>
        <w:t>高速公路</w:t>
      </w:r>
      <w:bookmarkEnd w:id="21"/>
    </w:p>
    <w:p w14:paraId="2D3E70BC">
      <w:pPr>
        <w:spacing w:line="360" w:lineRule="auto"/>
        <w:ind w:firstLine="600" w:firstLineChars="200"/>
        <w:rPr>
          <w:rFonts w:ascii="仿宋" w:hAnsi="仿宋" w:eastAsia="仿宋"/>
          <w:color w:val="000000"/>
          <w:sz w:val="30"/>
          <w:szCs w:val="30"/>
        </w:rPr>
      </w:pPr>
      <w:r>
        <w:rPr>
          <w:rFonts w:hint="eastAsia" w:ascii="仿宋" w:hAnsi="仿宋" w:eastAsia="仿宋"/>
          <w:color w:val="000000"/>
          <w:sz w:val="30"/>
          <w:szCs w:val="30"/>
        </w:rPr>
        <w:t>结合《国家公路网规划(2013-2030年)》与《内蒙古自治区高速公路网规划（2019—2030 年）》，立足突泉县对外交通运输需要，扩大现有高速公路的规模，补足交通短板，构筑突泉县对外快速通道，扩大对外开放力度，在继续推进“十四五”重点建设G5511线以及支撑工作的基础上，有效支撑突泉县未来经济社会跨越式发展。加强高速公路与国道干线公路间的快速连接，扩大高速公路的辐射范围，实现对外交通、县域交通。完善高速公路互通立交，发挥高速公路辐射县级以上产业园区的作用。</w:t>
      </w:r>
    </w:p>
    <w:p w14:paraId="2F4037BE">
      <w:pPr>
        <w:ind w:firstLine="600" w:firstLineChars="200"/>
        <w:rPr>
          <w:rFonts w:ascii="仿宋" w:hAnsi="仿宋" w:eastAsia="仿宋"/>
          <w:color w:val="000000"/>
          <w:sz w:val="30"/>
          <w:szCs w:val="30"/>
        </w:rPr>
      </w:pPr>
      <w:bookmarkStart w:id="22" w:name="_Toc37147857"/>
      <w:r>
        <w:rPr>
          <w:rFonts w:hint="eastAsia" w:ascii="仿宋" w:hAnsi="仿宋" w:eastAsia="仿宋"/>
          <w:color w:val="000000"/>
          <w:sz w:val="30"/>
          <w:szCs w:val="30"/>
        </w:rPr>
        <w:t>（2）</w:t>
      </w:r>
      <w:r>
        <w:rPr>
          <w:rFonts w:ascii="仿宋" w:hAnsi="仿宋" w:eastAsia="仿宋"/>
          <w:color w:val="000000"/>
          <w:sz w:val="30"/>
          <w:szCs w:val="30"/>
        </w:rPr>
        <w:t>省道</w:t>
      </w:r>
      <w:bookmarkEnd w:id="22"/>
    </w:p>
    <w:p w14:paraId="46272438">
      <w:pPr>
        <w:spacing w:line="360" w:lineRule="auto"/>
        <w:ind w:firstLine="600" w:firstLineChars="200"/>
        <w:rPr>
          <w:rFonts w:ascii="仿宋" w:hAnsi="仿宋" w:eastAsia="仿宋"/>
          <w:color w:val="000000"/>
          <w:sz w:val="30"/>
          <w:szCs w:val="30"/>
        </w:rPr>
      </w:pPr>
      <w:r>
        <w:rPr>
          <w:rFonts w:hint="eastAsia" w:ascii="仿宋" w:hAnsi="仿宋" w:eastAsia="仿宋"/>
          <w:color w:val="000000"/>
          <w:sz w:val="30"/>
          <w:szCs w:val="30"/>
        </w:rPr>
        <w:t>突泉县境内共有S502、S309、S210三段普通省道，结合突泉县普通国省道发展现状和“十四五”发展目标，“十四五”期间突泉县普通国省道改造的主要发展任务是：“提档升级</w:t>
      </w:r>
      <w:r>
        <w:rPr>
          <w:rFonts w:ascii="仿宋" w:hAnsi="仿宋" w:eastAsia="仿宋"/>
          <w:color w:val="000000"/>
          <w:sz w:val="30"/>
          <w:szCs w:val="30"/>
        </w:rPr>
        <w:t>，扩容</w:t>
      </w:r>
      <w:r>
        <w:rPr>
          <w:rFonts w:hint="eastAsia" w:ascii="仿宋" w:hAnsi="仿宋" w:eastAsia="仿宋"/>
          <w:color w:val="000000"/>
          <w:sz w:val="30"/>
          <w:szCs w:val="30"/>
        </w:rPr>
        <w:t>提质”，继续实施“十三五”结转项目，完成国省干线公路的提档升级，优化技术等级机构。按“十三五”实际执行情况结转继续实施“十四五”普通省道改造项目共108公里，实现与吉林省、四川、怒江、迪庆干线公路快速连接和推进突泉旅游高质量发展。</w:t>
      </w:r>
    </w:p>
    <w:p w14:paraId="390E4E9F">
      <w:pPr>
        <w:pStyle w:val="9"/>
        <w:spacing w:before="0" w:beforeAutospacing="0" w:after="0" w:afterAutospacing="0" w:line="360" w:lineRule="auto"/>
        <w:ind w:firstLine="630"/>
        <w:jc w:val="both"/>
        <w:rPr>
          <w:rFonts w:ascii="仿宋" w:hAnsi="仿宋" w:eastAsia="仿宋"/>
          <w:color w:val="000000"/>
          <w:sz w:val="30"/>
          <w:szCs w:val="30"/>
        </w:rPr>
      </w:pPr>
      <w:r>
        <w:rPr>
          <w:rFonts w:hint="eastAsia" w:ascii="仿宋" w:hAnsi="仿宋" w:eastAsia="仿宋"/>
          <w:color w:val="000000"/>
          <w:sz w:val="30"/>
          <w:szCs w:val="30"/>
        </w:rPr>
        <w:t>强化普通省道干线公路的服务功能，加强省道干线公路和高速公路的互联互通及沿线乡镇间的经济社会交流，完成S210线突泉至地宫化公路改造项目、S502线突泉至洮南公路改建项目、S309突泉至朝阳线改建项目。</w:t>
      </w:r>
    </w:p>
    <w:p w14:paraId="5AC7CF83">
      <w:pPr>
        <w:ind w:firstLine="600" w:firstLineChars="200"/>
        <w:rPr>
          <w:rFonts w:ascii="仿宋" w:hAnsi="仿宋" w:eastAsia="仿宋"/>
          <w:color w:val="000000"/>
          <w:sz w:val="30"/>
          <w:szCs w:val="30"/>
        </w:rPr>
      </w:pPr>
      <w:bookmarkStart w:id="23" w:name="_Toc37147858"/>
      <w:r>
        <w:rPr>
          <w:rFonts w:hint="eastAsia" w:ascii="仿宋" w:hAnsi="仿宋" w:eastAsia="仿宋"/>
          <w:color w:val="000000"/>
          <w:sz w:val="30"/>
          <w:szCs w:val="30"/>
        </w:rPr>
        <w:t>（3）</w:t>
      </w:r>
      <w:r>
        <w:rPr>
          <w:rFonts w:ascii="仿宋" w:hAnsi="仿宋" w:eastAsia="仿宋"/>
          <w:color w:val="000000"/>
          <w:sz w:val="30"/>
          <w:szCs w:val="30"/>
        </w:rPr>
        <w:t>农村公路</w:t>
      </w:r>
      <w:bookmarkEnd w:id="23"/>
    </w:p>
    <w:p w14:paraId="4EE4DAEC">
      <w:pPr>
        <w:shd w:val="clear" w:color="auto" w:fill="FFFFFF"/>
        <w:adjustRightInd w:val="0"/>
        <w:snapToGrid w:val="0"/>
        <w:spacing w:line="360" w:lineRule="auto"/>
        <w:ind w:firstLine="600" w:firstLineChars="200"/>
        <w:rPr>
          <w:rFonts w:ascii="仿宋" w:hAnsi="仿宋" w:eastAsia="仿宋"/>
          <w:bCs/>
          <w:color w:val="000000"/>
          <w:sz w:val="30"/>
          <w:szCs w:val="30"/>
        </w:rPr>
      </w:pPr>
      <w:r>
        <w:rPr>
          <w:rFonts w:hint="eastAsia" w:ascii="仿宋" w:hAnsi="仿宋" w:eastAsia="仿宋"/>
          <w:color w:val="000000"/>
          <w:sz w:val="30"/>
          <w:szCs w:val="30"/>
        </w:rPr>
        <w:t>提升农村公路服务水平，加快农村公路建设。</w:t>
      </w:r>
      <w:r>
        <w:rPr>
          <w:rFonts w:hint="eastAsia" w:ascii="仿宋" w:hAnsi="仿宋" w:eastAsia="仿宋"/>
          <w:bCs/>
          <w:color w:val="000000"/>
          <w:sz w:val="30"/>
          <w:szCs w:val="30"/>
        </w:rPr>
        <w:t>打好扶贫攻坚、环境污染等攻坚战，开展好柴油货车防治污染活动，</w:t>
      </w:r>
      <w:r>
        <w:rPr>
          <w:rFonts w:ascii="仿宋" w:hAnsi="仿宋" w:eastAsia="仿宋"/>
          <w:color w:val="000000"/>
          <w:sz w:val="30"/>
          <w:szCs w:val="30"/>
        </w:rPr>
        <w:t>把农村公路建设作为交通脱贫攻坚的主战场，</w:t>
      </w:r>
      <w:r>
        <w:rPr>
          <w:rFonts w:hint="eastAsia" w:ascii="仿宋" w:hAnsi="仿宋" w:eastAsia="仿宋"/>
          <w:color w:val="000000"/>
          <w:sz w:val="30"/>
          <w:szCs w:val="30"/>
        </w:rPr>
        <w:t>以“四好农村路”建设为抓手，着力实施“补短板、保安全、促发展、强管养、提服务”五大工程，</w:t>
      </w:r>
      <w:r>
        <w:rPr>
          <w:rFonts w:ascii="仿宋" w:hAnsi="仿宋" w:eastAsia="仿宋"/>
          <w:color w:val="000000"/>
          <w:sz w:val="30"/>
          <w:szCs w:val="30"/>
        </w:rPr>
        <w:t>补齐贫困地区交通基础设施短板</w:t>
      </w:r>
      <w:r>
        <w:rPr>
          <w:rFonts w:hint="eastAsia" w:ascii="仿宋" w:hAnsi="仿宋" w:eastAsia="仿宋"/>
          <w:color w:val="000000"/>
          <w:sz w:val="30"/>
          <w:szCs w:val="30"/>
        </w:rPr>
        <w:t>，努力让农民群众走上幸福小康路、平安放心路、特色致富路、持续发展路和城乡畅运路</w:t>
      </w:r>
      <w:r>
        <w:rPr>
          <w:rFonts w:ascii="仿宋" w:hAnsi="仿宋" w:eastAsia="仿宋"/>
          <w:color w:val="000000"/>
          <w:sz w:val="30"/>
          <w:szCs w:val="30"/>
        </w:rPr>
        <w:t>。</w:t>
      </w:r>
    </w:p>
    <w:p w14:paraId="63AB0E16">
      <w:pPr>
        <w:spacing w:line="360" w:lineRule="auto"/>
        <w:ind w:firstLine="600" w:firstLineChars="200"/>
        <w:rPr>
          <w:rFonts w:ascii="仿宋" w:hAnsi="仿宋" w:eastAsia="仿宋" w:cs="仿宋"/>
          <w:color w:val="000000"/>
          <w:sz w:val="30"/>
          <w:szCs w:val="30"/>
        </w:rPr>
      </w:pPr>
      <w:r>
        <w:rPr>
          <w:rFonts w:hint="eastAsia" w:ascii="仿宋" w:hAnsi="仿宋" w:eastAsia="仿宋"/>
          <w:color w:val="000000"/>
          <w:sz w:val="30"/>
          <w:szCs w:val="30"/>
        </w:rPr>
        <w:t>鉴于我县农村人口分布散、底子薄，而贫困村又是经济社会发展相对滞后的地区，交通基础设施薄弱，地方财力十分有限，筹资工作困难重重。为确保“乡村战略振兴”目标的实现，要多种渠道积极筹集资金，争取国家及省级的大力支持优先启动重要路线、重点村组的公路建设。</w:t>
      </w:r>
      <w:r>
        <w:rPr>
          <w:rFonts w:ascii="仿宋" w:hAnsi="仿宋" w:eastAsia="仿宋"/>
          <w:color w:val="000000"/>
          <w:sz w:val="30"/>
          <w:szCs w:val="30"/>
        </w:rPr>
        <w:t>按照“改善民生、优化路网、扶贫优先”的思路，</w:t>
      </w:r>
      <w:r>
        <w:rPr>
          <w:rFonts w:hint="eastAsia" w:ascii="仿宋" w:hAnsi="仿宋" w:eastAsia="仿宋"/>
          <w:color w:val="000000"/>
          <w:sz w:val="30"/>
          <w:szCs w:val="30"/>
        </w:rPr>
        <w:t>进一步扩大农村公路网络规模，提高网络通达率；重点实施乡村提档升级公路建设。统筹资金，优先解决贫困村和撤并建制村通硬化路工程的“行路难”问题，力争“十四五”期间完成349公里以上的撤并建制村的路面硬化建设。服务美丽绿色乡村建设，完成240公里的资源路、旅游公路的建设，</w:t>
      </w:r>
      <w:r>
        <w:rPr>
          <w:rFonts w:hint="eastAsia" w:ascii="仿宋" w:hAnsi="仿宋" w:eastAsia="仿宋" w:cs="仿宋"/>
          <w:color w:val="000000"/>
          <w:sz w:val="30"/>
          <w:szCs w:val="30"/>
        </w:rPr>
        <w:t>同时推进626公里提档升级农村公路建设及828.5公里建制村通双车道公路改造建设建设。</w:t>
      </w:r>
    </w:p>
    <w:p w14:paraId="19D5B6BE">
      <w:pPr>
        <w:ind w:firstLine="600" w:firstLineChars="200"/>
        <w:rPr>
          <w:rFonts w:ascii="仿宋" w:hAnsi="仿宋" w:eastAsia="仿宋"/>
          <w:color w:val="000000"/>
          <w:sz w:val="30"/>
          <w:szCs w:val="30"/>
        </w:rPr>
      </w:pPr>
      <w:bookmarkStart w:id="24" w:name="_Toc37147859"/>
      <w:r>
        <w:rPr>
          <w:rFonts w:hint="eastAsia" w:ascii="仿宋" w:hAnsi="仿宋" w:eastAsia="仿宋"/>
          <w:color w:val="000000"/>
          <w:sz w:val="30"/>
          <w:szCs w:val="30"/>
        </w:rPr>
        <w:t>（4）旅游</w:t>
      </w:r>
      <w:r>
        <w:rPr>
          <w:rFonts w:ascii="仿宋" w:hAnsi="仿宋" w:eastAsia="仿宋"/>
          <w:color w:val="000000"/>
          <w:sz w:val="30"/>
          <w:szCs w:val="30"/>
        </w:rPr>
        <w:t>公路及桥梁方面</w:t>
      </w:r>
      <w:bookmarkEnd w:id="24"/>
    </w:p>
    <w:p w14:paraId="6A95C7C5">
      <w:pPr>
        <w:spacing w:line="360" w:lineRule="auto"/>
        <w:ind w:firstLine="600" w:firstLineChars="200"/>
        <w:rPr>
          <w:rFonts w:ascii="仿宋" w:hAnsi="仿宋" w:eastAsia="仿宋"/>
          <w:color w:val="000000"/>
          <w:sz w:val="30"/>
          <w:szCs w:val="30"/>
        </w:rPr>
      </w:pPr>
      <w:r>
        <w:rPr>
          <w:rFonts w:ascii="仿宋" w:hAnsi="仿宋" w:eastAsia="仿宋"/>
          <w:color w:val="000000"/>
          <w:sz w:val="30"/>
          <w:szCs w:val="30"/>
        </w:rPr>
        <w:t>依托干线公路网，</w:t>
      </w:r>
      <w:r>
        <w:rPr>
          <w:rFonts w:hint="eastAsia" w:ascii="仿宋" w:hAnsi="仿宋" w:eastAsia="仿宋"/>
          <w:color w:val="000000"/>
          <w:sz w:val="30"/>
          <w:szCs w:val="30"/>
        </w:rPr>
        <w:t>完善重点经济网络公路，以服务工业园区、农业产业园和旅游开发区等经济节点发展为重点，改建一批县区重点经济网络公路，提高连接经济节点的公路通行能力，</w:t>
      </w:r>
      <w:r>
        <w:rPr>
          <w:rFonts w:ascii="仿宋" w:hAnsi="仿宋" w:eastAsia="仿宋"/>
          <w:color w:val="000000"/>
          <w:sz w:val="30"/>
          <w:szCs w:val="30"/>
        </w:rPr>
        <w:t>加强重要特色旅游线路及景区连接线布局。</w:t>
      </w:r>
    </w:p>
    <w:p w14:paraId="4D850898">
      <w:pPr>
        <w:spacing w:line="360" w:lineRule="auto"/>
        <w:ind w:firstLine="600" w:firstLineChars="200"/>
        <w:rPr>
          <w:rFonts w:ascii="仿宋" w:hAnsi="仿宋" w:eastAsia="仿宋"/>
          <w:color w:val="000000"/>
          <w:sz w:val="30"/>
          <w:szCs w:val="30"/>
        </w:rPr>
      </w:pPr>
      <w:r>
        <w:rPr>
          <w:rFonts w:hint="eastAsia" w:ascii="仿宋" w:hAnsi="仿宋" w:eastAsia="仿宋"/>
          <w:color w:val="000000"/>
          <w:sz w:val="30"/>
          <w:szCs w:val="30"/>
        </w:rPr>
        <w:t>旅游公路：围绕全县新型城镇化总体布局,扩大公路网覆盖面,着力打通“微循环”，加强连接中心小城镇、旅游景区的公路建设，改善其与高等级公路的连接状况，将突泉打造成为兴安盟旅游的副中心。建设实施旱河湿地旅游区道路改建、索金布勒格湿地旅游区道路改建、牤牛海湿地旅游区道路改建、鸡冠山旅游区道路改建、老头山旅游区道路改建、宝丰湿地旅游区道路改建、条石湖旅游区道路改建、五道沟旅游区道路改建、大青山旅游区道路改建、尖山旅游区道路改建、明星湖旅游区道路改建、马鞍山旅游区道路改建等建设项目</w:t>
      </w:r>
      <w:r>
        <w:rPr>
          <w:rFonts w:ascii="仿宋" w:hAnsi="仿宋" w:eastAsia="仿宋"/>
          <w:color w:val="000000"/>
          <w:sz w:val="30"/>
          <w:szCs w:val="30"/>
        </w:rPr>
        <w:t>，</w:t>
      </w:r>
      <w:r>
        <w:rPr>
          <w:rFonts w:hint="eastAsia" w:ascii="仿宋" w:hAnsi="仿宋" w:eastAsia="仿宋"/>
          <w:color w:val="000000"/>
          <w:sz w:val="30"/>
          <w:szCs w:val="30"/>
        </w:rPr>
        <w:t>提高旅游景区道路的容量和服务水平，</w:t>
      </w:r>
      <w:r>
        <w:rPr>
          <w:rFonts w:ascii="仿宋" w:hAnsi="仿宋" w:eastAsia="仿宋"/>
          <w:color w:val="000000"/>
          <w:sz w:val="30"/>
          <w:szCs w:val="30"/>
        </w:rPr>
        <w:t>形成覆盖</w:t>
      </w:r>
      <w:r>
        <w:rPr>
          <w:rFonts w:hint="eastAsia" w:ascii="仿宋" w:hAnsi="仿宋" w:eastAsia="仿宋"/>
          <w:color w:val="000000"/>
          <w:sz w:val="30"/>
          <w:szCs w:val="30"/>
        </w:rPr>
        <w:t>广泛</w:t>
      </w:r>
      <w:r>
        <w:rPr>
          <w:rFonts w:ascii="仿宋" w:hAnsi="仿宋" w:eastAsia="仿宋"/>
          <w:color w:val="000000"/>
          <w:sz w:val="30"/>
          <w:szCs w:val="30"/>
        </w:rPr>
        <w:t>、外通内畅的</w:t>
      </w:r>
      <w:r>
        <w:rPr>
          <w:rFonts w:hint="eastAsia" w:ascii="仿宋" w:hAnsi="仿宋" w:eastAsia="仿宋"/>
          <w:color w:val="000000"/>
          <w:sz w:val="30"/>
          <w:szCs w:val="30"/>
        </w:rPr>
        <w:t>旅游道路</w:t>
      </w:r>
      <w:r>
        <w:rPr>
          <w:rFonts w:ascii="仿宋" w:hAnsi="仿宋" w:eastAsia="仿宋"/>
          <w:color w:val="000000"/>
          <w:sz w:val="30"/>
          <w:szCs w:val="30"/>
        </w:rPr>
        <w:t>。</w:t>
      </w:r>
    </w:p>
    <w:p w14:paraId="4E9ADE40">
      <w:pPr>
        <w:spacing w:line="360" w:lineRule="auto"/>
        <w:ind w:firstLine="600" w:firstLineChars="200"/>
        <w:rPr>
          <w:rFonts w:ascii="仿宋" w:hAnsi="仿宋" w:eastAsia="仿宋"/>
          <w:color w:val="000000"/>
          <w:sz w:val="30"/>
          <w:szCs w:val="30"/>
        </w:rPr>
      </w:pPr>
      <w:r>
        <w:rPr>
          <w:rFonts w:hint="eastAsia" w:ascii="仿宋" w:hAnsi="仿宋" w:eastAsia="仿宋"/>
          <w:color w:val="000000"/>
          <w:sz w:val="30"/>
          <w:szCs w:val="30"/>
        </w:rPr>
        <w:t>桥梁：围绕全县公路布局，扩大公路网覆盖面，进一步扩大农村公路网络规模，提高网络通达率；力争“十四五”期间完成1950米以上的桥梁建设。</w:t>
      </w:r>
    </w:p>
    <w:p w14:paraId="39115AB1">
      <w:pPr>
        <w:pStyle w:val="4"/>
        <w:numPr>
          <w:ilvl w:val="0"/>
          <w:numId w:val="12"/>
        </w:numPr>
        <w:ind w:firstLine="472" w:firstLineChars="147"/>
        <w:rPr>
          <w:rFonts w:ascii="黑体" w:hAnsi="黑体" w:eastAsia="黑体"/>
          <w:color w:val="000000"/>
        </w:rPr>
      </w:pPr>
      <w:bookmarkStart w:id="25" w:name="_Toc37147864"/>
      <w:r>
        <w:rPr>
          <w:rFonts w:hint="eastAsia" w:ascii="黑体" w:hAnsi="黑体" w:eastAsia="黑体"/>
          <w:color w:val="000000"/>
        </w:rPr>
        <w:t>航空</w:t>
      </w:r>
    </w:p>
    <w:p w14:paraId="3F8877B9">
      <w:pPr>
        <w:spacing w:line="360" w:lineRule="auto"/>
        <w:ind w:firstLine="600" w:firstLineChars="200"/>
        <w:rPr>
          <w:rFonts w:ascii="仿宋" w:hAnsi="仿宋" w:eastAsia="仿宋"/>
          <w:color w:val="000000"/>
          <w:sz w:val="30"/>
          <w:szCs w:val="30"/>
        </w:rPr>
      </w:pPr>
      <w:r>
        <w:rPr>
          <w:rFonts w:hint="eastAsia" w:ascii="仿宋" w:hAnsi="仿宋" w:eastAsia="仿宋"/>
          <w:color w:val="000000"/>
          <w:sz w:val="30"/>
          <w:szCs w:val="30"/>
        </w:rPr>
        <w:t>推进低空空域通航网络布局，实现通勤航空、低空旅游率先发展。</w:t>
      </w:r>
    </w:p>
    <w:p w14:paraId="1D1CE14C">
      <w:pPr>
        <w:spacing w:line="360" w:lineRule="auto"/>
        <w:ind w:firstLine="600" w:firstLineChars="200"/>
        <w:rPr>
          <w:rFonts w:ascii="仿宋" w:hAnsi="仿宋" w:eastAsia="仿宋"/>
          <w:color w:val="000000"/>
          <w:sz w:val="30"/>
          <w:szCs w:val="30"/>
        </w:rPr>
      </w:pPr>
      <w:r>
        <w:rPr>
          <w:rFonts w:hint="eastAsia" w:ascii="仿宋" w:hAnsi="仿宋" w:eastAsia="仿宋"/>
          <w:color w:val="000000"/>
          <w:sz w:val="30"/>
          <w:szCs w:val="30"/>
        </w:rPr>
        <w:t>围绕打造航空全产业链发展思路，规划航空业总体布局，即：构建</w:t>
      </w:r>
      <w:r>
        <w:rPr>
          <w:rFonts w:ascii="仿宋" w:hAnsi="仿宋" w:eastAsia="仿宋"/>
          <w:color w:val="000000"/>
          <w:sz w:val="30"/>
          <w:szCs w:val="30"/>
        </w:rPr>
        <w:t>“</w:t>
      </w:r>
      <w:r>
        <w:rPr>
          <w:rFonts w:hint="eastAsia" w:ascii="仿宋" w:hAnsi="仿宋" w:eastAsia="仿宋"/>
          <w:color w:val="000000"/>
          <w:sz w:val="30"/>
          <w:szCs w:val="30"/>
        </w:rPr>
        <w:t>两网络</w:t>
      </w:r>
      <w:r>
        <w:rPr>
          <w:rFonts w:ascii="仿宋" w:hAnsi="仿宋" w:eastAsia="仿宋"/>
          <w:color w:val="000000"/>
          <w:sz w:val="30"/>
          <w:szCs w:val="30"/>
        </w:rPr>
        <w:t>”</w:t>
      </w:r>
      <w:r>
        <w:rPr>
          <w:rFonts w:hint="eastAsia" w:ascii="仿宋" w:hAnsi="仿宋" w:eastAsia="仿宋"/>
          <w:color w:val="000000"/>
          <w:sz w:val="30"/>
          <w:szCs w:val="30"/>
        </w:rPr>
        <w:t>（完善机场网络、航线网络）、</w:t>
      </w:r>
      <w:r>
        <w:rPr>
          <w:rFonts w:ascii="仿宋" w:hAnsi="仿宋" w:eastAsia="仿宋"/>
          <w:color w:val="000000"/>
          <w:sz w:val="30"/>
          <w:szCs w:val="30"/>
        </w:rPr>
        <w:t>“</w:t>
      </w:r>
      <w:r>
        <w:rPr>
          <w:rFonts w:hint="eastAsia" w:ascii="仿宋" w:hAnsi="仿宋" w:eastAsia="仿宋"/>
          <w:color w:val="000000"/>
          <w:sz w:val="30"/>
          <w:szCs w:val="30"/>
        </w:rPr>
        <w:t>四板块</w:t>
      </w:r>
      <w:r>
        <w:rPr>
          <w:rFonts w:ascii="仿宋" w:hAnsi="仿宋" w:eastAsia="仿宋"/>
          <w:color w:val="000000"/>
          <w:sz w:val="30"/>
          <w:szCs w:val="30"/>
        </w:rPr>
        <w:t>”</w:t>
      </w:r>
      <w:r>
        <w:rPr>
          <w:rFonts w:hint="eastAsia" w:ascii="仿宋" w:hAnsi="仿宋" w:eastAsia="仿宋"/>
          <w:color w:val="000000"/>
          <w:sz w:val="30"/>
          <w:szCs w:val="30"/>
        </w:rPr>
        <w:t>（发展航空服务业、航空物流、航空制造业和空港经济区）的工作要求，推进建设具有影响力的临空经济区，实现航空客货运输、航空物流以及与航空关联度强、指向性高的现代服务业和高端制造业集群式发展。</w:t>
      </w:r>
    </w:p>
    <w:p w14:paraId="48068BD8">
      <w:pPr>
        <w:spacing w:line="360" w:lineRule="auto"/>
        <w:ind w:firstLine="600" w:firstLineChars="200"/>
        <w:rPr>
          <w:rFonts w:ascii="仿宋" w:hAnsi="仿宋" w:eastAsia="仿宋"/>
          <w:color w:val="000000"/>
          <w:sz w:val="30"/>
          <w:szCs w:val="30"/>
        </w:rPr>
      </w:pPr>
      <w:r>
        <w:rPr>
          <w:rFonts w:ascii="仿宋" w:hAnsi="仿宋" w:eastAsia="仿宋"/>
          <w:color w:val="000000"/>
          <w:sz w:val="30"/>
          <w:szCs w:val="30"/>
        </w:rPr>
        <w:t>紧紧抓住国家开放低空空域资源的契机，</w:t>
      </w:r>
      <w:r>
        <w:rPr>
          <w:rFonts w:hint="eastAsia" w:ascii="仿宋" w:hAnsi="仿宋" w:eastAsia="仿宋"/>
          <w:color w:val="000000"/>
          <w:sz w:val="30"/>
          <w:szCs w:val="30"/>
        </w:rPr>
        <w:t>实施建设突泉卓尔级通用机场，用于低空旅游、农林作业、公务商务飞行、短途运输，通用航空产业支撑等，兼顾环境监查、应急救援等业务同时促进全县经济高质量发展。对于开辟航空新产业领域，带动旅游、商务、科技等产业发展更具有重大意义。</w:t>
      </w:r>
    </w:p>
    <w:p w14:paraId="53F8E7C5"/>
    <w:p w14:paraId="2763E51F">
      <w:pPr>
        <w:pStyle w:val="4"/>
        <w:ind w:firstLine="472" w:firstLineChars="147"/>
        <w:rPr>
          <w:rFonts w:ascii="黑体" w:hAnsi="黑体" w:eastAsia="黑体"/>
          <w:color w:val="000000"/>
        </w:rPr>
      </w:pPr>
      <w:r>
        <w:rPr>
          <w:rFonts w:ascii="黑体" w:hAnsi="黑体" w:eastAsia="黑体"/>
          <w:color w:val="000000"/>
        </w:rPr>
        <w:t>（</w:t>
      </w:r>
      <w:r>
        <w:rPr>
          <w:rFonts w:hint="eastAsia" w:ascii="黑体" w:hAnsi="黑体" w:eastAsia="黑体"/>
          <w:color w:val="000000"/>
        </w:rPr>
        <w:t>三</w:t>
      </w:r>
      <w:r>
        <w:rPr>
          <w:rFonts w:ascii="黑体" w:hAnsi="黑体" w:eastAsia="黑体"/>
          <w:color w:val="000000"/>
        </w:rPr>
        <w:t>）物流</w:t>
      </w:r>
      <w:bookmarkEnd w:id="25"/>
    </w:p>
    <w:p w14:paraId="6AC840CD">
      <w:pPr>
        <w:spacing w:line="360" w:lineRule="auto"/>
        <w:ind w:firstLine="600" w:firstLineChars="200"/>
        <w:rPr>
          <w:rFonts w:ascii="仿宋" w:hAnsi="仿宋" w:eastAsia="仿宋"/>
          <w:color w:val="000000"/>
          <w:sz w:val="30"/>
          <w:szCs w:val="30"/>
        </w:rPr>
      </w:pPr>
      <w:r>
        <w:rPr>
          <w:rFonts w:ascii="仿宋" w:hAnsi="仿宋" w:eastAsia="仿宋"/>
          <w:color w:val="000000"/>
          <w:sz w:val="30"/>
          <w:szCs w:val="30"/>
        </w:rPr>
        <w:t>按照层次清晰、布局合理、功能互补的原则，规划构建由物流集散枢纽、县级物流集散中心、城乡配送中心组成的“</w:t>
      </w:r>
      <w:r>
        <w:rPr>
          <w:rFonts w:ascii="Calibri" w:hAnsi="Calibri" w:eastAsia="仿宋" w:cs="Calibri"/>
          <w:color w:val="000000"/>
          <w:sz w:val="30"/>
          <w:szCs w:val="30"/>
        </w:rPr>
        <w:t> </w:t>
      </w:r>
      <w:r>
        <w:rPr>
          <w:rFonts w:ascii="仿宋" w:hAnsi="仿宋" w:eastAsia="仿宋"/>
          <w:color w:val="000000"/>
          <w:sz w:val="30"/>
          <w:szCs w:val="30"/>
        </w:rPr>
        <w:t>1+3+N</w:t>
      </w:r>
      <w:r>
        <w:rPr>
          <w:rFonts w:hint="eastAsia" w:ascii="仿宋" w:hAnsi="仿宋" w:eastAsia="仿宋" w:cs="仿宋"/>
          <w:color w:val="000000"/>
          <w:sz w:val="30"/>
          <w:szCs w:val="30"/>
        </w:rPr>
        <w:t>”</w:t>
      </w:r>
      <w:r>
        <w:rPr>
          <w:rFonts w:ascii="仿宋" w:hAnsi="仿宋" w:eastAsia="仿宋"/>
          <w:color w:val="000000"/>
          <w:sz w:val="30"/>
          <w:szCs w:val="30"/>
        </w:rPr>
        <w:t>三级物流结构体系以及纵向、横向相匹配的县、乡镇、村</w:t>
      </w:r>
      <w:r>
        <w:rPr>
          <w:rFonts w:hint="eastAsia" w:ascii="仿宋" w:hAnsi="仿宋" w:eastAsia="仿宋"/>
          <w:color w:val="000000"/>
          <w:sz w:val="30"/>
          <w:szCs w:val="30"/>
        </w:rPr>
        <w:t>三</w:t>
      </w:r>
      <w:r>
        <w:rPr>
          <w:rFonts w:ascii="仿宋" w:hAnsi="仿宋" w:eastAsia="仿宋"/>
          <w:color w:val="000000"/>
          <w:sz w:val="30"/>
          <w:szCs w:val="30"/>
        </w:rPr>
        <w:t>级物流服务体系，打造服务</w:t>
      </w:r>
      <w:r>
        <w:rPr>
          <w:rFonts w:hint="eastAsia" w:ascii="仿宋" w:hAnsi="仿宋" w:eastAsia="仿宋"/>
          <w:color w:val="000000"/>
          <w:sz w:val="30"/>
          <w:szCs w:val="30"/>
        </w:rPr>
        <w:t>突泉</w:t>
      </w:r>
      <w:r>
        <w:rPr>
          <w:rFonts w:ascii="仿宋" w:hAnsi="仿宋" w:eastAsia="仿宋"/>
          <w:color w:val="000000"/>
          <w:sz w:val="30"/>
          <w:szCs w:val="30"/>
        </w:rPr>
        <w:t>、辐射</w:t>
      </w:r>
      <w:r>
        <w:rPr>
          <w:rFonts w:hint="eastAsia" w:ascii="仿宋" w:hAnsi="仿宋" w:eastAsia="仿宋"/>
          <w:color w:val="000000"/>
          <w:sz w:val="30"/>
          <w:szCs w:val="30"/>
        </w:rPr>
        <w:t>兴安盟</w:t>
      </w:r>
      <w:r>
        <w:rPr>
          <w:rFonts w:ascii="仿宋" w:hAnsi="仿宋" w:eastAsia="仿宋"/>
          <w:color w:val="000000"/>
          <w:sz w:val="30"/>
          <w:szCs w:val="30"/>
        </w:rPr>
        <w:t>、联动</w:t>
      </w:r>
      <w:r>
        <w:rPr>
          <w:rFonts w:hint="eastAsia" w:ascii="仿宋" w:hAnsi="仿宋" w:eastAsia="仿宋"/>
          <w:color w:val="000000"/>
          <w:sz w:val="30"/>
          <w:szCs w:val="30"/>
        </w:rPr>
        <w:t>东三省</w:t>
      </w:r>
      <w:r>
        <w:rPr>
          <w:rFonts w:ascii="仿宋" w:hAnsi="仿宋" w:eastAsia="仿宋"/>
          <w:color w:val="000000"/>
          <w:sz w:val="30"/>
          <w:szCs w:val="30"/>
        </w:rPr>
        <w:t>的现代物流体系。</w:t>
      </w:r>
      <w:r>
        <w:rPr>
          <w:rFonts w:hint="eastAsia" w:ascii="仿宋" w:hAnsi="仿宋" w:eastAsia="仿宋"/>
          <w:color w:val="000000"/>
          <w:sz w:val="30"/>
          <w:szCs w:val="30"/>
        </w:rPr>
        <w:t>具体物流布局示意图如下。</w:t>
      </w:r>
    </w:p>
    <w:p w14:paraId="4570DD9C">
      <w:pPr>
        <w:spacing w:line="360" w:lineRule="auto"/>
        <w:jc w:val="center"/>
        <w:rPr>
          <w:rFonts w:ascii="仿宋" w:hAnsi="仿宋" w:eastAsia="仿宋"/>
          <w:color w:val="000000"/>
          <w:sz w:val="30"/>
          <w:szCs w:val="30"/>
        </w:rPr>
      </w:pPr>
      <w:r>
        <w:rPr>
          <w:rFonts w:ascii="仿宋" w:hAnsi="仿宋" w:eastAsia="仿宋"/>
          <w:color w:val="000000"/>
          <w:sz w:val="30"/>
          <w:szCs w:val="30"/>
        </w:rPr>
        <w:drawing>
          <wp:inline distT="0" distB="0" distL="114300" distR="114300">
            <wp:extent cx="5269865" cy="3039745"/>
            <wp:effectExtent l="0" t="0" r="6985" b="8255"/>
            <wp:docPr id="10" name="图片 10" descr="物流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物流园"/>
                    <pic:cNvPicPr>
                      <a:picLocks noChangeAspect="1"/>
                    </pic:cNvPicPr>
                  </pic:nvPicPr>
                  <pic:blipFill>
                    <a:blip r:embed="rId138"/>
                    <a:stretch>
                      <a:fillRect/>
                    </a:stretch>
                  </pic:blipFill>
                  <pic:spPr>
                    <a:xfrm>
                      <a:off x="0" y="0"/>
                      <a:ext cx="5269865" cy="3039745"/>
                    </a:xfrm>
                    <a:prstGeom prst="rect">
                      <a:avLst/>
                    </a:prstGeom>
                  </pic:spPr>
                </pic:pic>
              </a:graphicData>
            </a:graphic>
          </wp:inline>
        </w:drawing>
      </w:r>
    </w:p>
    <w:p w14:paraId="273406D5">
      <w:pPr>
        <w:spacing w:line="360" w:lineRule="auto"/>
        <w:jc w:val="center"/>
        <w:rPr>
          <w:rFonts w:ascii="仿宋" w:hAnsi="仿宋" w:eastAsia="仿宋"/>
          <w:color w:val="000000"/>
          <w:sz w:val="24"/>
        </w:rPr>
      </w:pPr>
      <w:r>
        <w:rPr>
          <w:rFonts w:hint="eastAsia" w:ascii="仿宋" w:hAnsi="仿宋" w:eastAsia="仿宋"/>
          <w:color w:val="000000"/>
          <w:sz w:val="24"/>
        </w:rPr>
        <w:t>图 突泉县物流布局示意图</w:t>
      </w:r>
    </w:p>
    <w:p w14:paraId="0004A591">
      <w:pPr>
        <w:autoSpaceDE w:val="0"/>
        <w:autoSpaceDN w:val="0"/>
        <w:adjustRightInd w:val="0"/>
        <w:spacing w:line="360" w:lineRule="auto"/>
        <w:ind w:firstLine="600" w:firstLineChars="200"/>
        <w:rPr>
          <w:rFonts w:ascii="仿宋" w:hAnsi="仿宋" w:eastAsia="仿宋"/>
          <w:color w:val="000000"/>
          <w:sz w:val="30"/>
          <w:szCs w:val="30"/>
        </w:rPr>
      </w:pPr>
      <w:r>
        <w:rPr>
          <w:rFonts w:hint="eastAsia" w:ascii="仿宋" w:hAnsi="仿宋" w:eastAsia="仿宋"/>
          <w:color w:val="000000"/>
          <w:sz w:val="30"/>
          <w:szCs w:val="30"/>
        </w:rPr>
        <w:t>加快补齐现代物流业的设施短板，形成全面辐射带动能力强、运行效率高、衔接紧密的物流体系。依托交通枢纽，加强综合货运站和快递物流园区的科学规划和政策引导。支持公路货运站场改造和转型升级, 以提高运输组织运输效率为核心，适应甩挂运输等先进物流组织形式。</w:t>
      </w:r>
      <w:r>
        <w:rPr>
          <w:rFonts w:ascii="仿宋" w:hAnsi="仿宋" w:eastAsia="仿宋"/>
          <w:color w:val="000000"/>
          <w:sz w:val="30"/>
          <w:szCs w:val="30"/>
        </w:rPr>
        <w:t>重点建设</w:t>
      </w:r>
      <w:r>
        <w:rPr>
          <w:rFonts w:hint="eastAsia" w:ascii="仿宋" w:hAnsi="仿宋" w:eastAsia="仿宋"/>
          <w:color w:val="000000"/>
          <w:sz w:val="30"/>
          <w:szCs w:val="30"/>
        </w:rPr>
        <w:t>春州</w:t>
      </w:r>
      <w:r>
        <w:rPr>
          <w:rFonts w:ascii="仿宋" w:hAnsi="仿宋" w:eastAsia="仿宋"/>
          <w:color w:val="000000"/>
          <w:sz w:val="30"/>
          <w:szCs w:val="30"/>
        </w:rPr>
        <w:t>现代物流产业园</w:t>
      </w:r>
      <w:r>
        <w:rPr>
          <w:rFonts w:hint="eastAsia" w:ascii="仿宋" w:hAnsi="仿宋" w:eastAsia="仿宋"/>
          <w:color w:val="000000"/>
          <w:sz w:val="30"/>
          <w:szCs w:val="30"/>
        </w:rPr>
        <w:t>、太东乡物流产业园、哈拉沁物流产业园</w:t>
      </w:r>
      <w:r>
        <w:rPr>
          <w:rFonts w:ascii="仿宋" w:hAnsi="仿宋" w:eastAsia="仿宋"/>
          <w:color w:val="000000"/>
          <w:sz w:val="30"/>
          <w:szCs w:val="30"/>
        </w:rPr>
        <w:t>，形成集物流和区域分拨配送</w:t>
      </w:r>
      <w:r>
        <w:rPr>
          <w:rFonts w:hint="eastAsia" w:ascii="仿宋" w:hAnsi="仿宋" w:eastAsia="仿宋"/>
          <w:color w:val="000000"/>
          <w:sz w:val="30"/>
          <w:szCs w:val="30"/>
        </w:rPr>
        <w:t>为一</w:t>
      </w:r>
      <w:r>
        <w:rPr>
          <w:rFonts w:ascii="仿宋" w:hAnsi="仿宋" w:eastAsia="仿宋"/>
          <w:color w:val="000000"/>
          <w:sz w:val="30"/>
          <w:szCs w:val="30"/>
        </w:rPr>
        <w:t>体，涵盖大宗货物物流仓储、冷链物流、批零市场、小型加工、保税仓库、快递分拨、电商物流等多种功能的综合服务型物流园区，打造</w:t>
      </w:r>
      <w:r>
        <w:rPr>
          <w:rFonts w:hint="eastAsia" w:ascii="仿宋" w:hAnsi="仿宋" w:eastAsia="仿宋"/>
          <w:color w:val="000000"/>
          <w:sz w:val="30"/>
          <w:szCs w:val="30"/>
        </w:rPr>
        <w:t>兴安盟</w:t>
      </w:r>
      <w:r>
        <w:rPr>
          <w:rFonts w:ascii="仿宋" w:hAnsi="仿宋" w:eastAsia="仿宋"/>
          <w:color w:val="000000"/>
          <w:sz w:val="30"/>
          <w:szCs w:val="30"/>
        </w:rPr>
        <w:t>规模最大、综合化、国际化的物流园区，建设成为辐射</w:t>
      </w:r>
      <w:r>
        <w:rPr>
          <w:rFonts w:hint="eastAsia" w:ascii="仿宋" w:hAnsi="仿宋" w:eastAsia="仿宋"/>
          <w:color w:val="000000"/>
          <w:sz w:val="30"/>
          <w:szCs w:val="30"/>
        </w:rPr>
        <w:t>兴安盟、东三省乃至外蒙古</w:t>
      </w:r>
      <w:r>
        <w:rPr>
          <w:rFonts w:ascii="仿宋" w:hAnsi="仿宋" w:eastAsia="仿宋"/>
          <w:color w:val="000000"/>
          <w:sz w:val="30"/>
          <w:szCs w:val="30"/>
        </w:rPr>
        <w:t>区域的重点现代物流产业示范园区。</w:t>
      </w:r>
    </w:p>
    <w:p w14:paraId="5F454BC9">
      <w:pPr>
        <w:pStyle w:val="4"/>
        <w:ind w:firstLine="643" w:firstLineChars="200"/>
        <w:rPr>
          <w:rFonts w:ascii="黑体" w:hAnsi="黑体" w:eastAsia="黑体"/>
          <w:color w:val="000000"/>
        </w:rPr>
      </w:pPr>
      <w:bookmarkStart w:id="26" w:name="_Toc37147867"/>
      <w:r>
        <w:rPr>
          <w:rFonts w:ascii="黑体" w:hAnsi="黑体" w:eastAsia="黑体"/>
          <w:color w:val="000000"/>
        </w:rPr>
        <w:t>（</w:t>
      </w:r>
      <w:r>
        <w:rPr>
          <w:rFonts w:hint="eastAsia" w:ascii="黑体" w:hAnsi="黑体" w:eastAsia="黑体"/>
          <w:color w:val="000000"/>
        </w:rPr>
        <w:t>四</w:t>
      </w:r>
      <w:r>
        <w:rPr>
          <w:rFonts w:ascii="黑体" w:hAnsi="黑体" w:eastAsia="黑体"/>
          <w:color w:val="000000"/>
        </w:rPr>
        <w:t>）</w:t>
      </w:r>
      <w:r>
        <w:rPr>
          <w:rFonts w:hint="eastAsia" w:ascii="黑体" w:hAnsi="黑体" w:eastAsia="黑体"/>
          <w:color w:val="000000"/>
        </w:rPr>
        <w:t>邮政</w:t>
      </w:r>
      <w:bookmarkEnd w:id="26"/>
    </w:p>
    <w:p w14:paraId="5DC4DC43">
      <w:pPr>
        <w:spacing w:line="360" w:lineRule="auto"/>
        <w:ind w:firstLine="600" w:firstLineChars="200"/>
        <w:rPr>
          <w:rFonts w:ascii="仿宋" w:hAnsi="仿宋" w:eastAsia="仿宋"/>
          <w:color w:val="000000"/>
          <w:sz w:val="30"/>
          <w:szCs w:val="30"/>
        </w:rPr>
      </w:pPr>
      <w:r>
        <w:rPr>
          <w:rFonts w:hint="eastAsia" w:ascii="仿宋" w:hAnsi="仿宋" w:eastAsia="仿宋"/>
          <w:color w:val="000000"/>
          <w:sz w:val="30"/>
          <w:szCs w:val="30"/>
        </w:rPr>
        <w:t>发展仍然是突泉邮政快递业的第一要务，是突泉经济发展进入新常态对邮政业提出的新挑战和新任务。全面推进邮政强国建设和邮政业高质量发展，邮政快递业发展将以习近平新时代中国特色社会主义思想为指导，深入贯彻“守初心、担使命”的总要求，按照全省邮政管理工作的总体部署，深入贯彻“巩固、增强、提升、畅通”八字方针，继续坚持“打通上下游、拓展产业链、画大同心圆、构建生态圈”的工作思路，统筹推进“五位一体”总体布局，协调推进“四个全面”战略布局，保持定力，增强信心，围绕中心，精准施策，全面抓好邮政事业发展，加快推进全市邮政快递业高质量发展进程。</w:t>
      </w:r>
    </w:p>
    <w:p w14:paraId="18FA33F3">
      <w:pPr>
        <w:spacing w:line="360" w:lineRule="auto"/>
        <w:ind w:firstLine="600" w:firstLineChars="200"/>
        <w:rPr>
          <w:rFonts w:ascii="仿宋" w:hAnsi="仿宋" w:eastAsia="仿宋"/>
          <w:color w:val="000000"/>
          <w:sz w:val="30"/>
          <w:szCs w:val="30"/>
        </w:rPr>
      </w:pPr>
      <w:bookmarkStart w:id="27" w:name="_Toc408393015"/>
      <w:bookmarkStart w:id="28" w:name="_Toc408563067"/>
      <w:bookmarkStart w:id="29" w:name="_Toc406404531"/>
      <w:bookmarkStart w:id="30" w:name="_Toc5016"/>
      <w:r>
        <w:rPr>
          <w:rFonts w:hint="eastAsia" w:ascii="仿宋" w:hAnsi="仿宋" w:eastAsia="仿宋"/>
          <w:color w:val="000000"/>
          <w:sz w:val="30"/>
          <w:szCs w:val="30"/>
        </w:rPr>
        <w:t>（1）继续推进邮政业市场化改革</w:t>
      </w:r>
      <w:bookmarkEnd w:id="27"/>
      <w:bookmarkEnd w:id="28"/>
      <w:bookmarkEnd w:id="29"/>
      <w:bookmarkEnd w:id="30"/>
      <w:r>
        <w:rPr>
          <w:rFonts w:hint="eastAsia" w:ascii="仿宋" w:hAnsi="仿宋" w:eastAsia="仿宋"/>
          <w:color w:val="000000"/>
          <w:sz w:val="30"/>
          <w:szCs w:val="30"/>
        </w:rPr>
        <w:t>，坚持放管结合，充分发挥市场在资源配置中的决定性作用和更好地发挥政府主导作用，为民营快递企业创造公平、规范的市场竞争环境，增强突泉快递企业的实力，提高服务质量和总体竞争力，巩固快递向农村深入发展。</w:t>
      </w:r>
      <w:bookmarkStart w:id="31" w:name="_Toc11686"/>
      <w:bookmarkStart w:id="32" w:name="_Toc408393016"/>
      <w:bookmarkStart w:id="33" w:name="_Toc408563068"/>
      <w:bookmarkStart w:id="34" w:name="_Toc406404532"/>
    </w:p>
    <w:p w14:paraId="2763D1C3">
      <w:pPr>
        <w:spacing w:line="360" w:lineRule="auto"/>
        <w:ind w:firstLine="600" w:firstLineChars="200"/>
        <w:rPr>
          <w:rFonts w:ascii="仿宋" w:hAnsi="仿宋" w:eastAsia="仿宋"/>
          <w:color w:val="000000"/>
          <w:sz w:val="30"/>
          <w:szCs w:val="30"/>
        </w:rPr>
      </w:pPr>
      <w:r>
        <w:rPr>
          <w:rFonts w:hint="eastAsia" w:ascii="仿宋" w:hAnsi="仿宋" w:eastAsia="仿宋"/>
          <w:color w:val="000000"/>
          <w:sz w:val="30"/>
          <w:szCs w:val="30"/>
        </w:rPr>
        <w:t>（2）继续巩固提升普遍服务能力水平</w:t>
      </w:r>
      <w:bookmarkEnd w:id="31"/>
      <w:bookmarkEnd w:id="32"/>
      <w:bookmarkEnd w:id="33"/>
      <w:bookmarkEnd w:id="34"/>
      <w:r>
        <w:rPr>
          <w:rFonts w:hint="eastAsia" w:ascii="仿宋" w:hAnsi="仿宋" w:eastAsia="仿宋"/>
          <w:color w:val="000000"/>
          <w:sz w:val="30"/>
          <w:szCs w:val="30"/>
        </w:rPr>
        <w:t>，突出普遍服务包容性、惠民和均等化等特征，统筹推进村邮站、城乡局所、邮政服务进社区和邮政便民服务平台等建设工作。</w:t>
      </w:r>
      <w:bookmarkStart w:id="35" w:name="_Toc408393017"/>
      <w:bookmarkStart w:id="36" w:name="_Toc406404533"/>
      <w:bookmarkStart w:id="37" w:name="_Toc408563069"/>
      <w:bookmarkStart w:id="38" w:name="_Toc5912"/>
    </w:p>
    <w:p w14:paraId="4E993EB9">
      <w:pPr>
        <w:spacing w:line="360" w:lineRule="auto"/>
        <w:ind w:firstLine="600" w:firstLineChars="200"/>
        <w:rPr>
          <w:rFonts w:ascii="仿宋" w:hAnsi="仿宋" w:eastAsia="仿宋"/>
          <w:color w:val="000000"/>
          <w:sz w:val="30"/>
          <w:szCs w:val="30"/>
        </w:rPr>
      </w:pPr>
      <w:r>
        <w:rPr>
          <w:rFonts w:hint="eastAsia" w:ascii="仿宋" w:hAnsi="仿宋" w:eastAsia="仿宋"/>
          <w:color w:val="000000"/>
          <w:sz w:val="30"/>
          <w:szCs w:val="30"/>
        </w:rPr>
        <w:t>（3）加速快递服务创新升级</w:t>
      </w:r>
      <w:bookmarkEnd w:id="35"/>
      <w:bookmarkEnd w:id="36"/>
      <w:bookmarkEnd w:id="37"/>
      <w:bookmarkEnd w:id="38"/>
      <w:r>
        <w:rPr>
          <w:rFonts w:hint="eastAsia" w:ascii="仿宋" w:hAnsi="仿宋" w:eastAsia="仿宋"/>
          <w:color w:val="000000"/>
          <w:sz w:val="30"/>
          <w:szCs w:val="30"/>
        </w:rPr>
        <w:t>，继续做好“电子商务与物流快递协调发展”推进工作，进一步提升邮政、快递物联网、互联网信息技术应用能力和水平。</w:t>
      </w:r>
    </w:p>
    <w:p w14:paraId="6F0935F2">
      <w:pPr>
        <w:spacing w:line="360" w:lineRule="auto"/>
        <w:ind w:firstLine="600" w:firstLineChars="200"/>
        <w:rPr>
          <w:rFonts w:ascii="仿宋" w:hAnsi="仿宋" w:eastAsia="仿宋"/>
          <w:color w:val="000000"/>
          <w:sz w:val="30"/>
          <w:szCs w:val="30"/>
        </w:rPr>
      </w:pPr>
      <w:bookmarkStart w:id="39" w:name="_Toc408393019"/>
      <w:bookmarkStart w:id="40" w:name="_Toc406404535"/>
      <w:bookmarkStart w:id="41" w:name="_Toc408563071"/>
      <w:bookmarkStart w:id="42" w:name="_Toc2656"/>
      <w:r>
        <w:rPr>
          <w:rFonts w:hint="eastAsia" w:ascii="仿宋" w:hAnsi="仿宋" w:eastAsia="仿宋"/>
          <w:color w:val="000000"/>
          <w:sz w:val="30"/>
          <w:szCs w:val="30"/>
        </w:rPr>
        <w:t>（4）进一步提升邮政行业监管效能</w:t>
      </w:r>
      <w:bookmarkEnd w:id="39"/>
      <w:bookmarkEnd w:id="40"/>
      <w:bookmarkEnd w:id="41"/>
      <w:bookmarkEnd w:id="42"/>
      <w:r>
        <w:rPr>
          <w:rFonts w:hint="eastAsia" w:ascii="仿宋" w:hAnsi="仿宋" w:eastAsia="仿宋"/>
          <w:color w:val="000000"/>
          <w:sz w:val="30"/>
          <w:szCs w:val="30"/>
        </w:rPr>
        <w:t>，全面推进科学化和属地化监管，在建立高效有力的监管体系上下功夫，强化对普遍服务、特殊服务、快递市场、邮品市场的有效监管，使邮政监管工作“高效、务实、健康、有序”运行，形成诚信邮政建设的长效机制。</w:t>
      </w:r>
    </w:p>
    <w:p w14:paraId="0EF7EA48">
      <w:pPr>
        <w:spacing w:line="360" w:lineRule="auto"/>
        <w:ind w:firstLine="600" w:firstLineChars="200"/>
        <w:rPr>
          <w:rFonts w:ascii="仿宋" w:hAnsi="仿宋" w:eastAsia="仿宋"/>
          <w:color w:val="000000"/>
          <w:sz w:val="30"/>
          <w:szCs w:val="30"/>
        </w:rPr>
      </w:pPr>
      <w:r>
        <w:rPr>
          <w:rFonts w:hint="eastAsia" w:ascii="仿宋" w:hAnsi="仿宋" w:eastAsia="仿宋"/>
          <w:color w:val="000000"/>
          <w:sz w:val="30"/>
          <w:szCs w:val="30"/>
        </w:rPr>
        <w:t>（5）全面推动关联产业的深度协同发展，深入推进“交邮”“邮快”合作发展机制。引导快递企业与跨境电子商务企业合作，优化快递网络，提升服务质量，积极发展跨境寄递业务。</w:t>
      </w:r>
    </w:p>
    <w:p w14:paraId="31381D57">
      <w:pPr>
        <w:spacing w:line="360" w:lineRule="auto"/>
        <w:ind w:firstLine="600" w:firstLineChars="200"/>
        <w:rPr>
          <w:rFonts w:ascii="仿宋" w:hAnsi="仿宋" w:eastAsia="仿宋"/>
          <w:color w:val="000000"/>
          <w:sz w:val="30"/>
          <w:szCs w:val="30"/>
        </w:rPr>
      </w:pPr>
      <w:r>
        <w:rPr>
          <w:rFonts w:hint="eastAsia" w:ascii="仿宋" w:hAnsi="仿宋" w:eastAsia="仿宋"/>
          <w:color w:val="000000"/>
          <w:sz w:val="30"/>
          <w:szCs w:val="30"/>
        </w:rPr>
        <w:t>（6）根据我国当前经济社会发展、相关行业方针政策，结合突泉县独特的区位优势、产业经济特点及市场需求，构建农村速递分拨运营模式和特色农产品集运模式。以形成“城乡公共交通、第三方物流网络整合，供应链集成优化”相结合的农村物流模式，并解决城乡物流通道中“最后一公里”与“第一公里”</w:t>
      </w:r>
    </w:p>
    <w:p w14:paraId="4108EE59">
      <w:pPr>
        <w:spacing w:line="360" w:lineRule="auto"/>
        <w:ind w:firstLine="600" w:firstLineChars="200"/>
        <w:rPr>
          <w:rFonts w:ascii="仿宋" w:hAnsi="仿宋" w:eastAsia="仿宋"/>
          <w:color w:val="000000"/>
          <w:sz w:val="30"/>
          <w:szCs w:val="30"/>
        </w:rPr>
      </w:pPr>
      <w:r>
        <w:rPr>
          <w:rFonts w:hint="eastAsia" w:ascii="仿宋" w:hAnsi="仿宋" w:eastAsia="仿宋"/>
          <w:color w:val="000000"/>
          <w:sz w:val="30"/>
          <w:szCs w:val="30"/>
        </w:rPr>
        <w:t>（7）继续推进邮政快递业“上机上铁”工程，全面优化寄递渠道，提升服务质量和服务水平。</w:t>
      </w:r>
      <w:bookmarkStart w:id="43" w:name="_Toc406404542"/>
      <w:bookmarkStart w:id="44" w:name="_Toc5990"/>
      <w:bookmarkStart w:id="45" w:name="_Toc408563080"/>
      <w:bookmarkStart w:id="46" w:name="_Toc408393028"/>
    </w:p>
    <w:p w14:paraId="44071483">
      <w:pPr>
        <w:spacing w:line="360" w:lineRule="auto"/>
        <w:ind w:firstLine="600" w:firstLineChars="200"/>
        <w:rPr>
          <w:rFonts w:eastAsia="方正仿宋简体"/>
          <w:color w:val="000000"/>
          <w:sz w:val="32"/>
          <w:szCs w:val="32"/>
        </w:rPr>
      </w:pPr>
      <w:r>
        <w:rPr>
          <w:rFonts w:hint="eastAsia" w:ascii="仿宋" w:hAnsi="仿宋" w:eastAsia="仿宋"/>
          <w:color w:val="000000"/>
          <w:sz w:val="30"/>
          <w:szCs w:val="30"/>
        </w:rPr>
        <w:t>（8）加强统筹规划，加快推进快递物流园区建设工程</w:t>
      </w:r>
      <w:bookmarkEnd w:id="43"/>
      <w:bookmarkEnd w:id="44"/>
      <w:bookmarkEnd w:id="45"/>
      <w:bookmarkEnd w:id="46"/>
      <w:r>
        <w:rPr>
          <w:rFonts w:hint="eastAsia" w:ascii="仿宋" w:hAnsi="仿宋" w:eastAsia="仿宋"/>
          <w:color w:val="000000"/>
          <w:sz w:val="30"/>
          <w:szCs w:val="30"/>
        </w:rPr>
        <w:t>。</w:t>
      </w:r>
    </w:p>
    <w:p w14:paraId="2E0AEC5B">
      <w:pPr>
        <w:pStyle w:val="4"/>
        <w:ind w:firstLine="472" w:firstLineChars="147"/>
        <w:rPr>
          <w:rFonts w:ascii="黑体" w:hAnsi="黑体" w:eastAsia="黑体"/>
          <w:color w:val="000000"/>
        </w:rPr>
      </w:pPr>
      <w:bookmarkStart w:id="47" w:name="_Toc37147868"/>
      <w:r>
        <w:rPr>
          <w:rFonts w:ascii="黑体" w:hAnsi="黑体" w:eastAsia="黑体"/>
          <w:color w:val="000000"/>
        </w:rPr>
        <w:t>（</w:t>
      </w:r>
      <w:r>
        <w:rPr>
          <w:rFonts w:hint="eastAsia" w:ascii="黑体" w:hAnsi="黑体" w:eastAsia="黑体"/>
          <w:color w:val="000000"/>
        </w:rPr>
        <w:t>五</w:t>
      </w:r>
      <w:r>
        <w:rPr>
          <w:rFonts w:ascii="黑体" w:hAnsi="黑体" w:eastAsia="黑体"/>
          <w:color w:val="000000"/>
        </w:rPr>
        <w:t>）运输</w:t>
      </w:r>
      <w:bookmarkEnd w:id="47"/>
    </w:p>
    <w:p w14:paraId="386B3C7D">
      <w:pPr>
        <w:spacing w:line="360" w:lineRule="auto"/>
        <w:ind w:firstLine="600" w:firstLineChars="200"/>
        <w:jc w:val="center"/>
        <w:rPr>
          <w:rFonts w:ascii="仿宋" w:hAnsi="仿宋" w:eastAsia="仿宋"/>
          <w:color w:val="000000"/>
          <w:sz w:val="30"/>
          <w:szCs w:val="30"/>
        </w:rPr>
      </w:pPr>
      <w:r>
        <w:rPr>
          <w:rFonts w:ascii="仿宋" w:hAnsi="仿宋" w:eastAsia="仿宋"/>
          <w:color w:val="000000"/>
          <w:sz w:val="30"/>
          <w:szCs w:val="30"/>
        </w:rPr>
        <w:t>规划</w:t>
      </w:r>
      <w:r>
        <w:rPr>
          <w:rFonts w:hint="eastAsia" w:ascii="仿宋" w:hAnsi="仿宋" w:eastAsia="仿宋"/>
          <w:color w:val="000000"/>
          <w:sz w:val="30"/>
          <w:szCs w:val="30"/>
        </w:rPr>
        <w:t>提升</w:t>
      </w:r>
      <w:r>
        <w:rPr>
          <w:rFonts w:ascii="仿宋" w:hAnsi="仿宋" w:eastAsia="仿宋"/>
          <w:color w:val="000000"/>
          <w:sz w:val="30"/>
          <w:szCs w:val="30"/>
        </w:rPr>
        <w:t>改造</w:t>
      </w:r>
      <w:r>
        <w:rPr>
          <w:rFonts w:hint="eastAsia" w:ascii="仿宋" w:hAnsi="仿宋" w:eastAsia="仿宋"/>
          <w:color w:val="000000"/>
          <w:sz w:val="30"/>
          <w:szCs w:val="30"/>
        </w:rPr>
        <w:t>突泉县客运综合枢纽</w:t>
      </w:r>
      <w:r>
        <w:rPr>
          <w:rFonts w:ascii="仿宋" w:hAnsi="仿宋" w:eastAsia="仿宋"/>
          <w:color w:val="000000"/>
          <w:sz w:val="30"/>
          <w:szCs w:val="30"/>
        </w:rPr>
        <w:t>，提高</w:t>
      </w:r>
      <w:r>
        <w:rPr>
          <w:rFonts w:hint="eastAsia" w:ascii="仿宋" w:hAnsi="仿宋" w:eastAsia="仿宋"/>
          <w:color w:val="000000"/>
          <w:sz w:val="30"/>
          <w:szCs w:val="30"/>
        </w:rPr>
        <w:t>突泉客运</w:t>
      </w:r>
      <w:r>
        <w:rPr>
          <w:rFonts w:ascii="仿宋" w:hAnsi="仿宋" w:eastAsia="仿宋"/>
          <w:color w:val="000000"/>
          <w:sz w:val="30"/>
          <w:szCs w:val="30"/>
        </w:rPr>
        <w:t>站的旅客集疏运能力</w:t>
      </w:r>
      <w:r>
        <w:rPr>
          <w:rFonts w:hint="eastAsia" w:ascii="仿宋" w:hAnsi="仿宋" w:eastAsia="仿宋"/>
          <w:color w:val="000000"/>
          <w:sz w:val="30"/>
          <w:szCs w:val="30"/>
        </w:rPr>
        <w:t>、服务水平和辐射范围</w:t>
      </w:r>
      <w:r>
        <w:rPr>
          <w:rFonts w:ascii="仿宋" w:hAnsi="仿宋" w:eastAsia="仿宋"/>
          <w:color w:val="000000"/>
          <w:sz w:val="30"/>
          <w:szCs w:val="30"/>
        </w:rPr>
        <w:t>。</w:t>
      </w:r>
      <w:r>
        <w:rPr>
          <w:rFonts w:hint="eastAsia" w:ascii="仿宋" w:hAnsi="仿宋" w:eastAsia="仿宋"/>
          <w:color w:val="000000"/>
          <w:sz w:val="30"/>
          <w:szCs w:val="30"/>
        </w:rPr>
        <w:t>具体客运中心布局如图所示。</w:t>
      </w:r>
      <w:r>
        <w:rPr>
          <w:rFonts w:ascii="仿宋" w:hAnsi="仿宋" w:eastAsia="仿宋"/>
          <w:color w:val="000000"/>
          <w:sz w:val="30"/>
          <w:szCs w:val="30"/>
        </w:rPr>
        <w:drawing>
          <wp:inline distT="0" distB="0" distL="114300" distR="114300">
            <wp:extent cx="5269865" cy="3039745"/>
            <wp:effectExtent l="0" t="0" r="6985" b="8255"/>
            <wp:docPr id="8" name="图片 8" descr="客运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客运中心"/>
                    <pic:cNvPicPr>
                      <a:picLocks noChangeAspect="1"/>
                    </pic:cNvPicPr>
                  </pic:nvPicPr>
                  <pic:blipFill>
                    <a:blip r:embed="rId139"/>
                    <a:stretch>
                      <a:fillRect/>
                    </a:stretch>
                  </pic:blipFill>
                  <pic:spPr>
                    <a:xfrm>
                      <a:off x="0" y="0"/>
                      <a:ext cx="5269865" cy="3039745"/>
                    </a:xfrm>
                    <a:prstGeom prst="rect">
                      <a:avLst/>
                    </a:prstGeom>
                  </pic:spPr>
                </pic:pic>
              </a:graphicData>
            </a:graphic>
          </wp:inline>
        </w:drawing>
      </w:r>
    </w:p>
    <w:p w14:paraId="4D63927A">
      <w:pPr>
        <w:spacing w:line="360" w:lineRule="auto"/>
        <w:ind w:firstLine="480" w:firstLineChars="200"/>
        <w:jc w:val="center"/>
        <w:rPr>
          <w:rFonts w:ascii="仿宋" w:hAnsi="仿宋" w:eastAsia="仿宋"/>
          <w:color w:val="000000"/>
          <w:sz w:val="24"/>
        </w:rPr>
      </w:pPr>
      <w:r>
        <w:rPr>
          <w:rFonts w:hint="eastAsia" w:ascii="仿宋" w:hAnsi="仿宋" w:eastAsia="仿宋"/>
          <w:color w:val="000000"/>
          <w:sz w:val="24"/>
        </w:rPr>
        <w:t>图 突泉县客运中心布局图</w:t>
      </w:r>
    </w:p>
    <w:p w14:paraId="3F1E803F">
      <w:pPr>
        <w:spacing w:line="360" w:lineRule="auto"/>
        <w:ind w:firstLine="600" w:firstLineChars="200"/>
        <w:rPr>
          <w:rFonts w:ascii="仿宋" w:hAnsi="仿宋" w:eastAsia="仿宋"/>
          <w:color w:val="000000"/>
          <w:sz w:val="30"/>
          <w:szCs w:val="30"/>
        </w:rPr>
      </w:pPr>
      <w:r>
        <w:rPr>
          <w:rFonts w:ascii="仿宋" w:hAnsi="仿宋" w:eastAsia="仿宋"/>
          <w:color w:val="000000"/>
          <w:sz w:val="30"/>
          <w:szCs w:val="30"/>
        </w:rPr>
        <w:t>规划</w:t>
      </w:r>
      <w:r>
        <w:rPr>
          <w:rFonts w:hint="eastAsia" w:ascii="仿宋" w:hAnsi="仿宋" w:eastAsia="仿宋"/>
          <w:color w:val="000000"/>
          <w:sz w:val="30"/>
          <w:szCs w:val="30"/>
        </w:rPr>
        <w:t>改造六户镇客运站、</w:t>
      </w:r>
      <w:r>
        <w:rPr>
          <w:rFonts w:ascii="仿宋" w:hAnsi="仿宋" w:eastAsia="仿宋"/>
          <w:color w:val="000000"/>
          <w:sz w:val="30"/>
          <w:szCs w:val="30"/>
        </w:rPr>
        <w:t>解决公路旅客集聚问题，提升</w:t>
      </w:r>
      <w:r>
        <w:rPr>
          <w:rFonts w:hint="eastAsia" w:ascii="仿宋" w:hAnsi="仿宋" w:eastAsia="仿宋"/>
          <w:color w:val="000000"/>
          <w:sz w:val="30"/>
          <w:szCs w:val="30"/>
        </w:rPr>
        <w:t>客运</w:t>
      </w:r>
      <w:r>
        <w:rPr>
          <w:rFonts w:ascii="仿宋" w:hAnsi="仿宋" w:eastAsia="仿宋"/>
          <w:color w:val="000000"/>
          <w:sz w:val="30"/>
          <w:szCs w:val="30"/>
        </w:rPr>
        <w:t>交通的舒适性和便捷性。</w:t>
      </w:r>
    </w:p>
    <w:p w14:paraId="254D21D2">
      <w:pPr>
        <w:spacing w:line="360" w:lineRule="auto"/>
        <w:ind w:firstLine="600" w:firstLineChars="200"/>
        <w:rPr>
          <w:rFonts w:ascii="仿宋" w:hAnsi="仿宋" w:eastAsia="仿宋"/>
          <w:color w:val="000000"/>
          <w:sz w:val="30"/>
          <w:szCs w:val="30"/>
        </w:rPr>
      </w:pPr>
      <w:r>
        <w:rPr>
          <w:rFonts w:hint="eastAsia" w:ascii="仿宋" w:hAnsi="仿宋" w:eastAsia="仿宋"/>
          <w:color w:val="000000"/>
          <w:sz w:val="30"/>
          <w:szCs w:val="30"/>
        </w:rPr>
        <w:t>规划改造杜尔基客运站，提升突泉市域交通的快速性和便捷性，提升客运服务品质和质量。</w:t>
      </w:r>
    </w:p>
    <w:p w14:paraId="256F70CB">
      <w:pPr>
        <w:pStyle w:val="4"/>
        <w:ind w:firstLine="472" w:firstLineChars="147"/>
        <w:rPr>
          <w:rFonts w:ascii="黑体" w:hAnsi="黑体" w:eastAsia="黑体"/>
          <w:color w:val="000000"/>
        </w:rPr>
      </w:pPr>
      <w:bookmarkStart w:id="48" w:name="_Hlk39741330"/>
      <w:bookmarkEnd w:id="48"/>
      <w:r>
        <w:rPr>
          <w:rFonts w:ascii="黑体" w:hAnsi="黑体" w:eastAsia="黑体"/>
          <w:color w:val="000000"/>
        </w:rPr>
        <w:t>（</w:t>
      </w:r>
      <w:r>
        <w:rPr>
          <w:rFonts w:hint="eastAsia" w:ascii="黑体" w:hAnsi="黑体" w:eastAsia="黑体"/>
          <w:color w:val="000000"/>
        </w:rPr>
        <w:t>六</w:t>
      </w:r>
      <w:r>
        <w:rPr>
          <w:rFonts w:ascii="黑体" w:hAnsi="黑体" w:eastAsia="黑体"/>
          <w:color w:val="000000"/>
        </w:rPr>
        <w:t>）</w:t>
      </w:r>
      <w:r>
        <w:rPr>
          <w:rFonts w:hint="eastAsia" w:ascii="黑体" w:hAnsi="黑体" w:eastAsia="黑体"/>
          <w:color w:val="000000"/>
        </w:rPr>
        <w:t>铁路</w:t>
      </w:r>
    </w:p>
    <w:p w14:paraId="3AC00082">
      <w:pPr>
        <w:ind w:firstLine="600" w:firstLineChars="200"/>
        <w:rPr>
          <w:rFonts w:ascii="仿宋" w:hAnsi="仿宋" w:eastAsia="仿宋"/>
          <w:color w:val="000000"/>
          <w:sz w:val="30"/>
          <w:szCs w:val="30"/>
        </w:rPr>
      </w:pPr>
      <w:r>
        <w:rPr>
          <w:rFonts w:hint="eastAsia" w:ascii="仿宋" w:hAnsi="仿宋" w:eastAsia="仿宋"/>
          <w:color w:val="000000"/>
          <w:sz w:val="30"/>
          <w:szCs w:val="30"/>
        </w:rPr>
        <w:t xml:space="preserve">突泉县位于科尔沁国家级自然保护区北部，是内蒙东部交通较为落后的革命老区县，于2020年正式退出国家级贫困旗县序列。突泉水资源较丰富，是霍林河煤炭初级加工基地。周边铁路分布众多，北部有长白、白阿线，西侧有通霍、锡乌线，东边有平齐、通让线，南部有拟规划修建的铁路线。虽然周边地区铁路建设发展不断提速，规划过境的长春至西巴彦花铁路项目虽已获批立项，部分开工，但由于市场需求及资金等变化因素，目前处于停滞状态，至今尚无建成铁路通过突泉县。 </w:t>
      </w:r>
      <w:r>
        <w:rPr>
          <w:rFonts w:ascii="仿宋" w:hAnsi="仿宋" w:eastAsia="仿宋"/>
          <w:color w:val="000000"/>
          <w:sz w:val="30"/>
          <w:szCs w:val="30"/>
        </w:rPr>
        <w:t xml:space="preserve">  </w:t>
      </w:r>
    </w:p>
    <w:p w14:paraId="0F8D41E2">
      <w:pPr>
        <w:ind w:firstLine="600" w:firstLineChars="200"/>
        <w:rPr>
          <w:rFonts w:ascii="仿宋" w:hAnsi="仿宋" w:eastAsia="仿宋"/>
          <w:color w:val="000000"/>
          <w:sz w:val="30"/>
          <w:szCs w:val="30"/>
        </w:rPr>
      </w:pPr>
      <w:r>
        <w:rPr>
          <w:rFonts w:hint="eastAsia" w:ascii="仿宋" w:hAnsi="仿宋" w:eastAsia="仿宋"/>
          <w:color w:val="000000"/>
          <w:sz w:val="30"/>
          <w:szCs w:val="30"/>
        </w:rPr>
        <w:t>突泉县具有特殊的门户交通地理区位优势，决定了其重要的交通枢纽功能，突泉改造的六户镇客运站，杜尔基客运站以及新建的春州</w:t>
      </w:r>
      <w:r>
        <w:rPr>
          <w:rFonts w:ascii="仿宋" w:hAnsi="仿宋" w:eastAsia="仿宋"/>
          <w:color w:val="000000"/>
          <w:sz w:val="30"/>
          <w:szCs w:val="30"/>
        </w:rPr>
        <w:t>现代物流产业园</w:t>
      </w:r>
      <w:r>
        <w:rPr>
          <w:rFonts w:hint="eastAsia" w:ascii="仿宋" w:hAnsi="仿宋" w:eastAsia="仿宋"/>
          <w:color w:val="000000"/>
          <w:sz w:val="30"/>
          <w:szCs w:val="30"/>
        </w:rPr>
        <w:t>，太东乡物流产业园及哈拉沁物流产业园等作为突泉交通枢纽体系中的重要组成部分，其在整个综合交通枢纽体系中的战略地位不言而喻。要实现突泉县交通运输服务水平与保障能力的进一步提升，奠定突泉的枢纽地位，迫切需要借助主枢纽、大通道的综合交通体系，发展边远革命老区及少数民族地区经济，铁路建设迫在眉睫。</w:t>
      </w:r>
    </w:p>
    <w:p w14:paraId="673B3205">
      <w:pPr>
        <w:ind w:firstLine="600" w:firstLineChars="200"/>
        <w:rPr>
          <w:rFonts w:ascii="仿宋" w:hAnsi="仿宋" w:eastAsia="仿宋"/>
          <w:color w:val="000000"/>
          <w:sz w:val="30"/>
          <w:szCs w:val="30"/>
        </w:rPr>
      </w:pPr>
      <w:r>
        <w:rPr>
          <w:rFonts w:hint="eastAsia" w:ascii="仿宋" w:hAnsi="仿宋" w:eastAsia="仿宋"/>
          <w:color w:val="000000"/>
          <w:sz w:val="30"/>
          <w:szCs w:val="30"/>
        </w:rPr>
        <w:t>据悉，以煤炭运输为主的资源开发性铁路即长西铁路于2014年核准批复，其是一条客货兼顾的区域性铁路，</w:t>
      </w:r>
      <w:r>
        <w:rPr>
          <w:rFonts w:ascii="仿宋" w:hAnsi="仿宋" w:eastAsia="仿宋"/>
          <w:color w:val="000000"/>
          <w:sz w:val="30"/>
          <w:szCs w:val="30"/>
        </w:rPr>
        <w:t>货车车流在长春枢纽内部分消化、部分通过</w:t>
      </w:r>
      <w:r>
        <w:rPr>
          <w:rFonts w:hint="eastAsia" w:ascii="仿宋" w:hAnsi="仿宋" w:eastAsia="仿宋"/>
          <w:color w:val="000000"/>
          <w:sz w:val="30"/>
          <w:szCs w:val="30"/>
        </w:rPr>
        <w:t>。长春至西巴彦花铁路位于我国东北地区吉林省西部和内蒙古自治区东部，线路东起长春市农安县，向西经松原市长岭县城北侧设长岭站，然后折向西北依次经过前郭尔罗斯蒙古族自治县西部、乾安县西部、白城市通榆县东北部，在洮南市黑水镇引入平齐铁路黑水站，出黑水站后向西经洮南市、内蒙古自治区兴安盟突泉县、科尔沁右翼中旗至线路终点通霍铁路西巴彦花站（新设接轨站）。全线新建正线长度</w:t>
      </w:r>
      <w:r>
        <w:rPr>
          <w:rFonts w:ascii="仿宋" w:hAnsi="仿宋" w:eastAsia="仿宋"/>
          <w:color w:val="000000"/>
          <w:sz w:val="30"/>
          <w:szCs w:val="30"/>
        </w:rPr>
        <w:t>391.141km</w:t>
      </w:r>
      <w:r>
        <w:rPr>
          <w:rFonts w:hint="eastAsia" w:ascii="仿宋" w:hAnsi="仿宋" w:eastAsia="仿宋"/>
          <w:color w:val="000000"/>
          <w:sz w:val="30"/>
          <w:szCs w:val="30"/>
        </w:rPr>
        <w:t>，其中吉林省境内</w:t>
      </w:r>
      <w:r>
        <w:rPr>
          <w:rFonts w:ascii="仿宋" w:hAnsi="仿宋" w:eastAsia="仿宋"/>
          <w:color w:val="000000"/>
          <w:sz w:val="30"/>
          <w:szCs w:val="30"/>
        </w:rPr>
        <w:t>303.139km</w:t>
      </w:r>
      <w:r>
        <w:rPr>
          <w:rFonts w:hint="eastAsia" w:ascii="仿宋" w:hAnsi="仿宋" w:eastAsia="仿宋"/>
          <w:color w:val="000000"/>
          <w:sz w:val="30"/>
          <w:szCs w:val="30"/>
        </w:rPr>
        <w:t>，内蒙古自治区境内</w:t>
      </w:r>
      <w:r>
        <w:rPr>
          <w:rFonts w:ascii="仿宋" w:hAnsi="仿宋" w:eastAsia="仿宋"/>
          <w:color w:val="000000"/>
          <w:sz w:val="30"/>
          <w:szCs w:val="30"/>
        </w:rPr>
        <w:t>88.002km</w:t>
      </w:r>
      <w:r>
        <w:rPr>
          <w:rFonts w:hint="eastAsia" w:ascii="仿宋" w:hAnsi="仿宋" w:eastAsia="仿宋"/>
          <w:color w:val="000000"/>
          <w:sz w:val="30"/>
          <w:szCs w:val="30"/>
        </w:rPr>
        <w:t>。</w:t>
      </w:r>
    </w:p>
    <w:p w14:paraId="7BEDBBFD">
      <w:pPr>
        <w:rPr>
          <w:rFonts w:ascii="仿宋" w:hAnsi="仿宋" w:eastAsia="仿宋"/>
          <w:color w:val="000000"/>
          <w:sz w:val="30"/>
          <w:szCs w:val="30"/>
        </w:rPr>
      </w:pPr>
      <w:r>
        <w:rPr>
          <w:rFonts w:ascii="仿宋" w:hAnsi="仿宋" w:eastAsia="仿宋"/>
          <w:color w:val="000000"/>
          <w:sz w:val="30"/>
          <w:szCs w:val="30"/>
        </w:rPr>
        <w:drawing>
          <wp:inline distT="0" distB="0" distL="0" distR="0">
            <wp:extent cx="5274310" cy="3314065"/>
            <wp:effectExtent l="0" t="0" r="254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0" y="0"/>
                      <a:ext cx="5274310" cy="3314065"/>
                    </a:xfrm>
                    <a:prstGeom prst="rect">
                      <a:avLst/>
                    </a:prstGeom>
                    <a:noFill/>
                    <a:ln>
                      <a:noFill/>
                    </a:ln>
                  </pic:spPr>
                </pic:pic>
              </a:graphicData>
            </a:graphic>
          </wp:inline>
        </w:drawing>
      </w:r>
      <w:r>
        <w:rPr>
          <w:rFonts w:hint="eastAsia" w:ascii="仿宋" w:hAnsi="仿宋" w:eastAsia="仿宋"/>
          <w:color w:val="000000"/>
          <w:sz w:val="30"/>
          <w:szCs w:val="30"/>
        </w:rPr>
        <w:t xml:space="preserve"> </w:t>
      </w:r>
    </w:p>
    <w:p w14:paraId="7A7BDAFF">
      <w:pPr>
        <w:jc w:val="center"/>
        <w:rPr>
          <w:szCs w:val="20"/>
        </w:rPr>
      </w:pPr>
      <w:r>
        <w:rPr>
          <w:rFonts w:hint="eastAsia" w:ascii="仿宋" w:hAnsi="仿宋" w:eastAsia="仿宋"/>
          <w:color w:val="000000"/>
        </w:rPr>
        <w:t>图1</w:t>
      </w:r>
      <w:r>
        <w:rPr>
          <w:rFonts w:ascii="仿宋" w:hAnsi="仿宋" w:eastAsia="仿宋"/>
          <w:color w:val="000000"/>
        </w:rPr>
        <w:t xml:space="preserve"> </w:t>
      </w:r>
      <w:r>
        <w:rPr>
          <w:rFonts w:hint="eastAsia" w:ascii="仿宋" w:hAnsi="仿宋" w:eastAsia="仿宋"/>
          <w:color w:val="000000"/>
        </w:rPr>
        <w:t>长西铁路线路示意图</w:t>
      </w:r>
    </w:p>
    <w:p w14:paraId="58E230E9">
      <w:pPr>
        <w:ind w:firstLine="600" w:firstLineChars="200"/>
        <w:rPr>
          <w:rFonts w:ascii="仿宋" w:hAnsi="仿宋" w:eastAsia="仿宋"/>
          <w:color w:val="000000"/>
          <w:sz w:val="30"/>
          <w:szCs w:val="30"/>
        </w:rPr>
      </w:pPr>
      <w:r>
        <w:rPr>
          <w:rFonts w:hint="eastAsia" w:ascii="仿宋" w:hAnsi="仿宋" w:eastAsia="仿宋"/>
          <w:color w:val="000000"/>
          <w:sz w:val="30"/>
          <w:szCs w:val="30"/>
        </w:rPr>
        <w:t>“十四五”期，国家为确保及增长，对铁路基建投资拉动政策可能即将陆续出台，突泉县政府应抓住机遇，积极请示、协调兴安盟、自治区等上级有关政府部门，推进该项目的规划设计方案以及客货并举的功能定位调整，争取早日恢复开工建设</w:t>
      </w:r>
    </w:p>
    <w:p w14:paraId="61E5424A">
      <w:pPr>
        <w:ind w:firstLine="600" w:firstLineChars="200"/>
        <w:rPr>
          <w:rFonts w:ascii="仿宋" w:hAnsi="仿宋" w:eastAsia="仿宋"/>
          <w:color w:val="000000"/>
          <w:sz w:val="30"/>
          <w:szCs w:val="30"/>
        </w:rPr>
      </w:pPr>
      <w:r>
        <w:rPr>
          <w:rFonts w:hint="eastAsia" w:ascii="仿宋" w:hAnsi="仿宋" w:eastAsia="仿宋"/>
          <w:color w:val="000000"/>
          <w:sz w:val="30"/>
          <w:szCs w:val="30"/>
        </w:rPr>
        <w:t>同时</w:t>
      </w:r>
      <w:r>
        <w:rPr>
          <w:rFonts w:ascii="仿宋" w:hAnsi="仿宋" w:eastAsia="仿宋"/>
          <w:color w:val="000000"/>
          <w:sz w:val="30"/>
          <w:szCs w:val="30"/>
        </w:rPr>
        <w:t>根据“国家中长期铁路网规划”，内蒙古将建设齐齐哈尔至通辽高铁</w:t>
      </w:r>
      <w:r>
        <w:rPr>
          <w:rFonts w:hint="eastAsia" w:ascii="仿宋" w:hAnsi="仿宋" w:eastAsia="仿宋"/>
          <w:color w:val="000000"/>
          <w:sz w:val="30"/>
          <w:szCs w:val="30"/>
        </w:rPr>
        <w:t>即</w:t>
      </w:r>
      <w:r>
        <w:rPr>
          <w:rFonts w:ascii="仿宋" w:hAnsi="仿宋" w:eastAsia="仿宋"/>
          <w:color w:val="000000"/>
          <w:sz w:val="30"/>
          <w:szCs w:val="30"/>
        </w:rPr>
        <w:t>正在规划中的通辽至白城至乌兰浩特至齐齐哈尔高速铁路，预计十四五期间开工。本线路由通辽站引出，经过宝龙山，太平川，通榆，洮南，白城，乌兰浩特，扎赉特旗，在齐齐哈尔与</w:t>
      </w:r>
      <w:r>
        <w:fldChar w:fldCharType="begin"/>
      </w:r>
      <w:r>
        <w:instrText xml:space="preserve"> HYPERLINK "https://baike.baidu.com/item/%E5%93%88%E9%BD%90%E5%AE%A2%E4%B8%93/13882175" \t "_blank" </w:instrText>
      </w:r>
      <w:r>
        <w:fldChar w:fldCharType="separate"/>
      </w:r>
      <w:r>
        <w:rPr>
          <w:rFonts w:ascii="仿宋" w:hAnsi="仿宋" w:eastAsia="仿宋"/>
          <w:color w:val="000000"/>
          <w:sz w:val="30"/>
          <w:szCs w:val="30"/>
        </w:rPr>
        <w:t>哈齐客专</w:t>
      </w:r>
      <w:r>
        <w:rPr>
          <w:rFonts w:ascii="仿宋" w:hAnsi="仿宋" w:eastAsia="仿宋"/>
          <w:color w:val="000000"/>
          <w:sz w:val="30"/>
          <w:szCs w:val="30"/>
        </w:rPr>
        <w:fldChar w:fldCharType="end"/>
      </w:r>
      <w:r>
        <w:rPr>
          <w:rFonts w:ascii="仿宋" w:hAnsi="仿宋" w:eastAsia="仿宋"/>
          <w:color w:val="000000"/>
          <w:sz w:val="30"/>
          <w:szCs w:val="30"/>
        </w:rPr>
        <w:t>接轨。该线路建成以后，由通辽至齐齐哈尔的旅行时间将由六个半小时缩短到两个半小时以内</w:t>
      </w:r>
      <w:r>
        <w:rPr>
          <w:rFonts w:hint="eastAsia" w:ascii="仿宋" w:hAnsi="仿宋" w:eastAsia="仿宋"/>
          <w:color w:val="000000"/>
          <w:sz w:val="30"/>
          <w:szCs w:val="30"/>
        </w:rPr>
        <w:t>。通齐高铁</w:t>
      </w:r>
      <w:r>
        <w:rPr>
          <w:rFonts w:ascii="仿宋" w:hAnsi="仿宋" w:eastAsia="仿宋"/>
          <w:color w:val="000000"/>
          <w:sz w:val="30"/>
          <w:szCs w:val="30"/>
        </w:rPr>
        <w:t>是内蒙古自治区东部和东北地区西部重要的交通枢纽</w:t>
      </w:r>
      <w:r>
        <w:rPr>
          <w:rFonts w:hint="eastAsia" w:ascii="仿宋" w:hAnsi="仿宋" w:eastAsia="仿宋"/>
          <w:color w:val="000000"/>
          <w:sz w:val="30"/>
          <w:szCs w:val="30"/>
        </w:rPr>
        <w:t xml:space="preserve">，通齐高铁的开通运营，蒙东地区高铁与全国高铁网实现互联互通，蒙东承东启西、连接南北的枢纽地位更加凸显。据项目组了解，该项目“十三五”作为中长期规划项目，具体线位尚未确定，突泉县可借助通齐高铁战略机遇，积极对接、协调盟、自治区调整线位规划方案，力争经过本县境内，实现境内高铁重大突破，快速提升其客运运量，为突泉经济持续快速发展赢来新的机遇。 </w:t>
      </w:r>
    </w:p>
    <w:p w14:paraId="1C8BB095">
      <w:pPr>
        <w:ind w:firstLine="600" w:firstLineChars="200"/>
        <w:rPr>
          <w:rFonts w:hint="eastAsia" w:ascii="仿宋" w:hAnsi="仿宋" w:eastAsia="仿宋"/>
          <w:color w:val="000000"/>
          <w:sz w:val="30"/>
          <w:szCs w:val="30"/>
          <w:lang w:eastAsia="zh-CN"/>
        </w:rPr>
      </w:pPr>
      <w:r>
        <w:rPr>
          <w:rFonts w:hint="eastAsia" w:ascii="仿宋" w:hAnsi="仿宋" w:eastAsia="仿宋"/>
          <w:color w:val="000000"/>
          <w:sz w:val="30"/>
          <w:szCs w:val="30"/>
        </w:rPr>
        <w:t>突泉及周边新建铁路有利于完善路网布局，强化蒙东地区铁路煤炭运输通道、促进区域经济社会发展、吸引民间投资建设铁路,重点提升客货运的运输效率，采用放射式的对外交通网络，并与区域交通干道衔接，增大客货运场站覆盖范围，形成居民便利出行、货物快捷进出的农村客货运输网络。铁路的建设将有效强化区域物流产业，提速发展春州</w:t>
      </w:r>
      <w:r>
        <w:rPr>
          <w:rFonts w:ascii="仿宋" w:hAnsi="仿宋" w:eastAsia="仿宋"/>
          <w:color w:val="000000"/>
          <w:sz w:val="30"/>
          <w:szCs w:val="30"/>
        </w:rPr>
        <w:t>现代物流产业园</w:t>
      </w:r>
      <w:r>
        <w:rPr>
          <w:rFonts w:hint="eastAsia" w:ascii="仿宋" w:hAnsi="仿宋" w:eastAsia="仿宋"/>
          <w:color w:val="000000"/>
          <w:sz w:val="30"/>
          <w:szCs w:val="30"/>
        </w:rPr>
        <w:t xml:space="preserve">，太东乡物流产业园及哈拉沁物流产业园，构建多功能一体化的货运枢纽，组织和协调各种不同交通方式，提高交通效率，实现客运“零换乘”与货运“无缝衔接”，发挥综合运输的协调效应和整体效益。 </w:t>
      </w:r>
      <w:r>
        <w:rPr>
          <w:rFonts w:ascii="仿宋" w:hAnsi="仿宋" w:eastAsia="仿宋"/>
          <w:color w:val="000000"/>
          <w:sz w:val="30"/>
          <w:szCs w:val="30"/>
        </w:rPr>
        <w:t xml:space="preserve">    </w:t>
      </w:r>
    </w:p>
    <w:p w14:paraId="79FE15B9">
      <w:pPr>
        <w:ind w:firstLine="600" w:firstLineChars="200"/>
        <w:rPr>
          <w:rFonts w:ascii="仿宋" w:hAnsi="仿宋" w:eastAsia="仿宋"/>
          <w:color w:val="000000"/>
          <w:sz w:val="30"/>
          <w:szCs w:val="30"/>
        </w:rPr>
      </w:pPr>
      <w:r>
        <w:rPr>
          <w:rFonts w:hint="eastAsia" w:ascii="仿宋" w:hAnsi="仿宋" w:eastAsia="仿宋"/>
          <w:color w:val="000000"/>
          <w:sz w:val="30"/>
          <w:szCs w:val="30"/>
        </w:rPr>
        <w:t xml:space="preserve"> </w:t>
      </w:r>
      <w:r>
        <w:rPr>
          <w:rFonts w:ascii="仿宋" w:hAnsi="仿宋" w:eastAsia="仿宋"/>
          <w:color w:val="000000"/>
          <w:sz w:val="30"/>
          <w:szCs w:val="30"/>
        </w:rPr>
        <w:t xml:space="preserve">   </w:t>
      </w:r>
      <w:r>
        <w:rPr>
          <w:rFonts w:hint="eastAsia" w:ascii="仿宋" w:hAnsi="仿宋" w:eastAsia="仿宋"/>
          <w:color w:val="000000"/>
          <w:sz w:val="30"/>
          <w:szCs w:val="30"/>
        </w:rPr>
        <w:t>紧抓铁路规划机遇，提升突泉在铁路运输网络中的地位，</w:t>
      </w:r>
      <w:r>
        <w:rPr>
          <w:rFonts w:ascii="仿宋" w:hAnsi="仿宋" w:eastAsia="仿宋"/>
          <w:color w:val="000000"/>
          <w:sz w:val="30"/>
          <w:szCs w:val="30"/>
        </w:rPr>
        <w:t>承接起</w:t>
      </w:r>
      <w:r>
        <w:rPr>
          <w:rFonts w:hint="eastAsia" w:ascii="仿宋" w:hAnsi="仿宋" w:eastAsia="仿宋"/>
          <w:color w:val="000000"/>
          <w:sz w:val="30"/>
          <w:szCs w:val="30"/>
        </w:rPr>
        <w:t>东联西进</w:t>
      </w:r>
      <w:r>
        <w:rPr>
          <w:rFonts w:ascii="仿宋" w:hAnsi="仿宋" w:eastAsia="仿宋"/>
          <w:color w:val="000000"/>
          <w:sz w:val="30"/>
          <w:szCs w:val="30"/>
        </w:rPr>
        <w:t>的桥梁纽带作用</w:t>
      </w:r>
      <w:r>
        <w:rPr>
          <w:rFonts w:hint="eastAsia" w:ascii="仿宋" w:hAnsi="仿宋" w:eastAsia="仿宋"/>
          <w:color w:val="000000"/>
          <w:sz w:val="30"/>
          <w:szCs w:val="30"/>
        </w:rPr>
        <w:t>。铁路的规划建设，多种运输方式互联互通，将加速突泉县的资源开发，铁路对沿线地区经济辐射的作用，带动县内经济发展，并改善突泉地区的交通条件，加强突泉与外界的联系与交流，提升突泉在兴安盟乃至内蒙古中的交通地位，增强其区域竞争力。</w:t>
      </w:r>
    </w:p>
    <w:p w14:paraId="13113602">
      <w:pPr>
        <w:pStyle w:val="3"/>
      </w:pPr>
      <w:r>
        <w:rPr>
          <w:rFonts w:hint="eastAsia"/>
        </w:rPr>
        <w:t>五、“十四五”综合运输发展政策建设与保障措施</w:t>
      </w:r>
    </w:p>
    <w:p w14:paraId="1294F80B">
      <w:pPr>
        <w:keepNext/>
        <w:keepLines/>
        <w:spacing w:line="360" w:lineRule="auto"/>
        <w:outlineLvl w:val="2"/>
        <w:rPr>
          <w:rFonts w:ascii="仿宋" w:hAnsi="仿宋" w:eastAsia="仿宋" w:cs="仿宋"/>
          <w:b/>
          <w:bCs/>
          <w:sz w:val="28"/>
          <w:szCs w:val="28"/>
        </w:rPr>
      </w:pPr>
      <w:r>
        <w:rPr>
          <w:rFonts w:hint="eastAsia" w:ascii="仿宋" w:hAnsi="仿宋" w:eastAsia="仿宋" w:cs="仿宋"/>
          <w:b/>
          <w:bCs/>
          <w:sz w:val="28"/>
          <w:szCs w:val="28"/>
        </w:rPr>
        <w:t>（一）认真学习领会2020年全国两会精神，积极对接相关经济发展政策，促进以铁路为主干的综合运输大通道建设</w:t>
      </w:r>
    </w:p>
    <w:p w14:paraId="2FF18DAE">
      <w:pPr>
        <w:keepNext/>
        <w:keepLines/>
        <w:spacing w:line="360" w:lineRule="auto"/>
        <w:outlineLvl w:val="2"/>
        <w:rPr>
          <w:rFonts w:ascii="仿宋" w:hAnsi="仿宋" w:eastAsia="仿宋" w:cs="仿宋"/>
          <w:sz w:val="28"/>
          <w:szCs w:val="28"/>
        </w:rPr>
      </w:pPr>
      <w:r>
        <w:rPr>
          <w:rFonts w:hint="eastAsia" w:ascii="仿宋" w:hAnsi="仿宋" w:eastAsia="仿宋" w:cs="仿宋"/>
          <w:sz w:val="28"/>
          <w:szCs w:val="28"/>
        </w:rPr>
        <w:t>（1）积极协调上级政府部门，努力推进长西铁路项目重新调整功能定位及招商引资实施方案，争取“十四五”期间恢复开工建设。</w:t>
      </w:r>
    </w:p>
    <w:p w14:paraId="0FB05BA9">
      <w:pPr>
        <w:keepNext/>
        <w:keepLines/>
        <w:spacing w:line="360" w:lineRule="auto"/>
        <w:outlineLvl w:val="2"/>
        <w:rPr>
          <w:rFonts w:ascii="仿宋" w:hAnsi="仿宋" w:eastAsia="仿宋" w:cs="仿宋"/>
          <w:sz w:val="28"/>
          <w:szCs w:val="28"/>
        </w:rPr>
      </w:pPr>
      <w:r>
        <w:rPr>
          <w:rFonts w:hint="eastAsia" w:ascii="仿宋" w:hAnsi="仿宋" w:eastAsia="仿宋" w:cs="仿宋"/>
          <w:sz w:val="28"/>
          <w:szCs w:val="28"/>
        </w:rPr>
        <w:t>（2）积极争取齐通高铁项目列入自治区、盟“十四五”规划，并努力协调线位调整优化，力争线路走向通过突泉县，早日实现境内通高铁重大突破。</w:t>
      </w:r>
    </w:p>
    <w:p w14:paraId="031CE69B">
      <w:pPr>
        <w:keepNext/>
        <w:keepLines/>
        <w:spacing w:line="360" w:lineRule="auto"/>
        <w:outlineLvl w:val="2"/>
        <w:rPr>
          <w:rFonts w:ascii="仿宋" w:hAnsi="仿宋" w:eastAsia="仿宋" w:cs="仿宋"/>
          <w:sz w:val="28"/>
          <w:szCs w:val="28"/>
        </w:rPr>
      </w:pPr>
      <w:r>
        <w:rPr>
          <w:rFonts w:hint="eastAsia" w:ascii="仿宋" w:hAnsi="仿宋" w:eastAsia="仿宋" w:cs="仿宋"/>
          <w:sz w:val="28"/>
          <w:szCs w:val="28"/>
        </w:rPr>
        <w:t>（3）优化场站枢纽及物流园区的布局设计方案，促进客货运输节点与大通道建设的协同发展。</w:t>
      </w:r>
    </w:p>
    <w:p w14:paraId="72459D46">
      <w:pPr>
        <w:keepNext/>
        <w:keepLines/>
        <w:spacing w:line="360" w:lineRule="auto"/>
        <w:outlineLvl w:val="2"/>
        <w:rPr>
          <w:rFonts w:ascii="仿宋" w:hAnsi="仿宋" w:eastAsia="仿宋" w:cs="仿宋"/>
          <w:b/>
          <w:bCs/>
          <w:sz w:val="28"/>
          <w:szCs w:val="28"/>
        </w:rPr>
      </w:pPr>
      <w:r>
        <w:rPr>
          <w:rFonts w:hint="eastAsia" w:ascii="仿宋" w:hAnsi="仿宋" w:eastAsia="仿宋" w:cs="仿宋"/>
          <w:b/>
          <w:bCs/>
          <w:sz w:val="28"/>
          <w:szCs w:val="28"/>
        </w:rPr>
        <w:t>（二）加强规划衔接，强化规划操作性</w:t>
      </w:r>
    </w:p>
    <w:p w14:paraId="5453A2A9">
      <w:pPr>
        <w:pStyle w:val="7"/>
        <w:spacing w:line="365" w:lineRule="auto"/>
        <w:ind w:left="0" w:firstLine="561"/>
        <w:jc w:val="both"/>
        <w:rPr>
          <w:rFonts w:ascii="仿宋" w:hAnsi="仿宋" w:eastAsia="仿宋" w:cs="仿宋"/>
        </w:rPr>
      </w:pPr>
      <w:r>
        <w:rPr>
          <w:rFonts w:hint="eastAsia" w:ascii="仿宋" w:hAnsi="仿宋" w:eastAsia="仿宋" w:cs="仿宋"/>
        </w:rPr>
        <w:t>加强本规划与突泉县其他专项规划的衔接，积极对接内蒙古、兴安盟相关交通规划，协调好合作项目及其进度，积极争取国家、省、盟对突泉县交通建设项目的支持，包括国债资金、车购税资金及其他中央专项资金对突泉县交通发展的投入；争取大幅提高突泉县普通国省干线公路及农村公路的升级改造规模，并在建设上给予支持；积极争取国家、省、盟对贫困地区的扶贫项目补助，比如异地扶贫移民搬迁项目、旅游扶贫示范项目等，充分利用好其中基础设施部分完善交通设施。加强项目实施衔接，确保工程建设顺利实施，加强与突泉县其他规划（如水利、住建、国土、发改等）规划的衔接，利于项目实施。同时，健全规划评估机制，加强规划执行过程中的动态跟踪，及时把握出现的新情况、新问题，适时调整规划和相关政策，进一步提高规划的可操作性。</w:t>
      </w:r>
    </w:p>
    <w:p w14:paraId="24C213EE">
      <w:pPr>
        <w:keepNext/>
        <w:keepLines/>
        <w:spacing w:line="360" w:lineRule="auto"/>
        <w:outlineLvl w:val="2"/>
        <w:rPr>
          <w:rFonts w:ascii="仿宋" w:hAnsi="仿宋" w:eastAsia="仿宋" w:cs="仿宋"/>
          <w:b/>
          <w:bCs/>
          <w:sz w:val="28"/>
          <w:szCs w:val="28"/>
        </w:rPr>
      </w:pPr>
      <w:bookmarkStart w:id="49" w:name="_Toc27042934"/>
      <w:r>
        <w:rPr>
          <w:rFonts w:hint="eastAsia" w:ascii="仿宋" w:hAnsi="仿宋" w:eastAsia="仿宋" w:cs="仿宋"/>
          <w:b/>
          <w:bCs/>
          <w:sz w:val="28"/>
          <w:szCs w:val="28"/>
        </w:rPr>
        <w:t>（三）争取政策支持，拓宽资金渠道</w:t>
      </w:r>
      <w:bookmarkEnd w:id="49"/>
    </w:p>
    <w:p w14:paraId="47D757F7">
      <w:pPr>
        <w:ind w:firstLine="560"/>
        <w:rPr>
          <w:rFonts w:ascii="仿宋" w:hAnsi="仿宋" w:eastAsia="仿宋" w:cs="仿宋"/>
          <w:kern w:val="0"/>
          <w:sz w:val="28"/>
          <w:szCs w:val="28"/>
          <w:lang w:val="zh-CN" w:bidi="zh-CN"/>
        </w:rPr>
      </w:pPr>
      <w:r>
        <w:rPr>
          <w:rFonts w:hint="eastAsia" w:ascii="仿宋" w:hAnsi="仿宋" w:eastAsia="仿宋" w:cs="仿宋"/>
          <w:kern w:val="0"/>
          <w:sz w:val="28"/>
          <w:szCs w:val="28"/>
          <w:lang w:val="zh-CN" w:bidi="zh-CN"/>
        </w:rPr>
        <w:t>利用好国家政策和扶贫开发政策，积极争取中央和地方财政支持，支持农村公路、枢纽站场和农村邮政网点的建设养护，加快民族地区和贫困地区的交通建设。结合项目建设背景将建设项目纳入国家及省有关规划；优化资金结构，设立专项建设资金，逐步增加政府资金投入；统筹利用传统融资渠道，严格落实各级政府在基础设施建设、养护方面的财政配套资金；探索拓展PPP等模式吸引社会投资，引导社会资本投向高速铁路、公路、通用机场、枢纽站场等领域的建设发展；扩大政府债券、企业债券等直接融资规模，通过收费权、股权、债权等模式创新融资渠道；在争取国家资金和政策支持的基础上，进一步创新投融资体制机制，积极争取国家PCL贷款，加大招商引资力度，积极推广其他新兴建设模式。积极探索现代金融产品直接融资和公路沿线资源参与建设，增加筹融资新渠道。研究建立重点针对农村公路等项目建设及农村客运发展的专项基金，支持农村交通发展。加大招商引资力度，吸引各项资金。全力推进项目招商引资工作，将回报率高的项目推向市场，吸引各种社会资金进入交通建设市场，减少地方财政投入。</w:t>
      </w:r>
    </w:p>
    <w:p w14:paraId="54277D7F">
      <w:pPr>
        <w:ind w:firstLine="560"/>
        <w:rPr>
          <w:rFonts w:ascii="仿宋" w:hAnsi="仿宋" w:eastAsia="仿宋" w:cs="仿宋"/>
          <w:kern w:val="0"/>
          <w:sz w:val="28"/>
          <w:szCs w:val="28"/>
          <w:lang w:val="zh-CN" w:bidi="zh-CN"/>
        </w:rPr>
      </w:pPr>
      <w:r>
        <w:rPr>
          <w:rFonts w:hint="eastAsia" w:ascii="仿宋" w:hAnsi="仿宋" w:eastAsia="仿宋" w:cs="仿宋"/>
          <w:kern w:val="0"/>
          <w:sz w:val="28"/>
          <w:szCs w:val="28"/>
          <w:lang w:val="zh-CN" w:bidi="zh-CN"/>
        </w:rPr>
        <w:t>综合交通运输体系的实施所需资金大，要树立市场意识和社会整体意识，积极探索，不断创新筹资方式，多渠道筹资交通建设资金。抢抓发展机遇，积极争取专项资金。采取项目以奖代补的方式鼓励各地加快开发，减少或减免地方配套资金；积极争取车购税等交通专项资金和政府债券资金相关政策。运用交通投资平台，筹集更多资金。加大盘活存量力度，扩大增量，为交通建设筹集更多的资金。通过收储用地滚动开发发展，缓解交通建设资金不足的矛盾，确保交通基础设施建设能满足社会经济发展的需求。</w:t>
      </w:r>
    </w:p>
    <w:p w14:paraId="7EB392AE">
      <w:pPr>
        <w:keepNext/>
        <w:keepLines/>
        <w:spacing w:line="360" w:lineRule="auto"/>
        <w:outlineLvl w:val="2"/>
        <w:rPr>
          <w:rFonts w:ascii="仿宋" w:hAnsi="仿宋" w:eastAsia="仿宋" w:cs="仿宋"/>
          <w:b/>
          <w:bCs/>
          <w:sz w:val="28"/>
          <w:szCs w:val="28"/>
        </w:rPr>
      </w:pPr>
      <w:r>
        <w:rPr>
          <w:rFonts w:hint="eastAsia" w:ascii="仿宋" w:hAnsi="仿宋" w:eastAsia="仿宋" w:cs="仿宋"/>
          <w:b/>
          <w:bCs/>
          <w:sz w:val="28"/>
          <w:szCs w:val="28"/>
        </w:rPr>
        <w:t>（四）加强建设项目管理，加快推进交通建设</w:t>
      </w:r>
    </w:p>
    <w:p w14:paraId="1B067943">
      <w:pPr>
        <w:pStyle w:val="7"/>
        <w:spacing w:line="364" w:lineRule="auto"/>
        <w:ind w:left="0" w:firstLine="559"/>
        <w:rPr>
          <w:rFonts w:ascii="仿宋" w:hAnsi="仿宋" w:eastAsia="仿宋" w:cs="仿宋"/>
        </w:rPr>
      </w:pPr>
      <w:r>
        <w:rPr>
          <w:rFonts w:hint="eastAsia" w:ascii="仿宋" w:hAnsi="仿宋" w:eastAsia="仿宋" w:cs="仿宋"/>
        </w:rPr>
        <w:t>认真履行各自职责，加强建设项目管理，强化行业指导，促进交通健</w:t>
      </w:r>
      <w:r>
        <w:rPr>
          <w:rFonts w:hint="eastAsia" w:ascii="仿宋" w:hAnsi="仿宋" w:eastAsia="仿宋" w:cs="仿宋"/>
          <w:spacing w:val="-7"/>
        </w:rPr>
        <w:t xml:space="preserve">康发展；完善项目建设权责制度体系，明确、细化建设管理部门工作规程， </w:t>
      </w:r>
      <w:r>
        <w:rPr>
          <w:rFonts w:hint="eastAsia" w:ascii="仿宋" w:hAnsi="仿宋" w:eastAsia="仿宋" w:cs="仿宋"/>
        </w:rPr>
        <w:t>严格实行项目法人责任制、工程质量责任制、工程项目招标制和工程项目监理制。进一步完善“政府监督、社会监理、企业自检”三级质量保证体系，严把工程质量关，有效提高公路交通建设质量。加快项目前期工作， 加大项目储备，促进交通快速发展；进一步规范建设管理行为，加强建设</w:t>
      </w:r>
      <w:r>
        <w:rPr>
          <w:rFonts w:hint="eastAsia" w:ascii="仿宋" w:hAnsi="仿宋" w:eastAsia="仿宋" w:cs="仿宋"/>
          <w:spacing w:val="-3"/>
        </w:rPr>
        <w:t>过程监督和质量监管，努力提高公路建设质量。</w:t>
      </w:r>
    </w:p>
    <w:p w14:paraId="06997467">
      <w:pPr>
        <w:keepNext/>
        <w:keepLines/>
        <w:spacing w:line="360" w:lineRule="auto"/>
        <w:outlineLvl w:val="2"/>
        <w:rPr>
          <w:rFonts w:ascii="仿宋" w:hAnsi="仿宋" w:eastAsia="仿宋" w:cs="仿宋"/>
          <w:b/>
          <w:bCs/>
          <w:sz w:val="28"/>
          <w:szCs w:val="28"/>
        </w:rPr>
      </w:pPr>
      <w:bookmarkStart w:id="50" w:name="_Toc27042933"/>
      <w:bookmarkStart w:id="51" w:name="_Toc443576043"/>
      <w:r>
        <w:rPr>
          <w:rFonts w:hint="eastAsia" w:ascii="仿宋" w:hAnsi="仿宋" w:eastAsia="仿宋" w:cs="仿宋"/>
          <w:b/>
          <w:bCs/>
          <w:sz w:val="28"/>
          <w:szCs w:val="28"/>
        </w:rPr>
        <w:t>（五）深化体制改革，坚持创新，优化运行机制</w:t>
      </w:r>
      <w:bookmarkEnd w:id="50"/>
    </w:p>
    <w:p w14:paraId="3A4044B8">
      <w:pPr>
        <w:spacing w:line="360" w:lineRule="auto"/>
        <w:ind w:firstLine="560" w:firstLineChars="200"/>
        <w:rPr>
          <w:rFonts w:ascii="仿宋" w:hAnsi="仿宋" w:eastAsia="仿宋" w:cs="仿宋"/>
          <w:sz w:val="28"/>
          <w:szCs w:val="28"/>
        </w:rPr>
      </w:pPr>
      <w:bookmarkStart w:id="52" w:name="_Toc443576052"/>
      <w:r>
        <w:rPr>
          <w:rFonts w:hint="eastAsia" w:ascii="仿宋" w:hAnsi="仿宋" w:eastAsia="仿宋" w:cs="仿宋"/>
          <w:sz w:val="28"/>
          <w:szCs w:val="28"/>
        </w:rPr>
        <w:t>推进突泉县铁路、公路、民航、水运、邮政、城市交通等多部门机构优化和职责整合，形成运转高效、协调有序的现代综合运输管理体制；逐步理顺各级政府在交通运输行业建设、养护、运营管理中的关系，明晰事权，分清责任，减少执法层级，各部门决策权、执行权、监督权相对分开又相互制约；搭建综合交通联席会议制度平台，提升多部门的综合交通运输协同规划、建设、运营管理的决策能力，坚持全过程全因素管理，高效推进项目工作。</w:t>
      </w:r>
      <w:bookmarkEnd w:id="51"/>
      <w:bookmarkEnd w:id="52"/>
    </w:p>
    <w:p w14:paraId="4FEF66B6">
      <w:pPr>
        <w:ind w:firstLine="560"/>
        <w:rPr>
          <w:rFonts w:ascii="仿宋" w:hAnsi="仿宋" w:eastAsia="仿宋" w:cs="仿宋"/>
          <w:sz w:val="28"/>
          <w:szCs w:val="28"/>
        </w:rPr>
      </w:pPr>
      <w:r>
        <w:rPr>
          <w:rFonts w:hint="eastAsia" w:ascii="仿宋" w:hAnsi="仿宋" w:eastAsia="仿宋" w:cs="仿宋"/>
          <w:sz w:val="28"/>
          <w:szCs w:val="28"/>
        </w:rPr>
        <w:t>交通运输体系的建设必须要坚持创新，要在清理修订和完善过去已有制度的基础上，坚持与时俱进和改革创新，针对不断出现的新情况、新问题，结合突泉县特点，按照与实践相适应、与重大举措相配套的要求，不断开创综合交通运输建设的新思路，增强科学性、预见性、创造性。</w:t>
      </w:r>
    </w:p>
    <w:p w14:paraId="4639A8DA">
      <w:pPr>
        <w:keepNext/>
        <w:keepLines/>
        <w:spacing w:line="360" w:lineRule="auto"/>
        <w:outlineLvl w:val="2"/>
        <w:rPr>
          <w:rFonts w:ascii="仿宋" w:hAnsi="仿宋" w:eastAsia="仿宋" w:cs="仿宋"/>
          <w:b/>
          <w:bCs/>
          <w:sz w:val="28"/>
          <w:szCs w:val="28"/>
        </w:rPr>
      </w:pPr>
      <w:bookmarkStart w:id="53" w:name="_Toc443576046"/>
      <w:bookmarkStart w:id="54" w:name="_Toc447016530"/>
      <w:bookmarkStart w:id="55" w:name="_Toc27042935"/>
      <w:bookmarkStart w:id="56" w:name="_Toc438625618"/>
      <w:r>
        <w:rPr>
          <w:rFonts w:hint="eastAsia" w:ascii="仿宋" w:hAnsi="仿宋" w:eastAsia="仿宋" w:cs="仿宋"/>
          <w:b/>
          <w:bCs/>
          <w:sz w:val="28"/>
          <w:szCs w:val="28"/>
        </w:rPr>
        <w:t>（六）</w:t>
      </w:r>
      <w:bookmarkEnd w:id="53"/>
      <w:bookmarkEnd w:id="54"/>
      <w:bookmarkStart w:id="57" w:name="_Toc443576048"/>
      <w:bookmarkStart w:id="58" w:name="_Toc447016532"/>
      <w:r>
        <w:rPr>
          <w:rFonts w:hint="eastAsia" w:ascii="仿宋" w:hAnsi="仿宋" w:eastAsia="仿宋" w:cs="仿宋"/>
          <w:b/>
          <w:bCs/>
          <w:sz w:val="28"/>
          <w:szCs w:val="28"/>
        </w:rPr>
        <w:t>保护生态，构建绿色综合交通运输体系</w:t>
      </w:r>
      <w:bookmarkEnd w:id="55"/>
    </w:p>
    <w:p w14:paraId="111A6DA6">
      <w:pPr>
        <w:spacing w:line="360" w:lineRule="auto"/>
        <w:ind w:firstLine="560"/>
        <w:rPr>
          <w:rFonts w:ascii="仿宋" w:hAnsi="仿宋" w:eastAsia="仿宋" w:cs="仿宋"/>
          <w:sz w:val="28"/>
          <w:szCs w:val="28"/>
        </w:rPr>
      </w:pPr>
      <w:r>
        <w:rPr>
          <w:rFonts w:hint="eastAsia" w:ascii="仿宋" w:hAnsi="仿宋" w:eastAsia="仿宋" w:cs="仿宋"/>
          <w:sz w:val="28"/>
          <w:szCs w:val="28"/>
        </w:rPr>
        <w:t>规划、建设、运营、养护等各环节严守生态红线、保护生态环境、集约利用资源，严格控制交通对生态环境的影响，促进综合交通运输体系与生态环境和谐发展。</w:t>
      </w:r>
      <w:bookmarkEnd w:id="56"/>
      <w:bookmarkEnd w:id="57"/>
      <w:bookmarkEnd w:id="58"/>
      <w:r>
        <w:rPr>
          <w:rFonts w:hint="eastAsia" w:ascii="仿宋" w:hAnsi="仿宋" w:eastAsia="仿宋" w:cs="仿宋"/>
          <w:sz w:val="28"/>
          <w:szCs w:val="28"/>
        </w:rPr>
        <w:t>实施新能源汽车财政补贴政策，落实新能源汽车税费与充电价格优惠政策，推动新能源汽车产业发展。</w:t>
      </w:r>
    </w:p>
    <w:p w14:paraId="4E537E22">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交通规划、建设、运营过程中将制定切实可行的环境保护方案，结合突泉生态旅游城市建设的发展要求，认真贯彻生态型、环保型站场的建设发展理念，节约土地，加强绿化，尽可能减少综合交通枢纽站场建设（特别是生态旅游圈的场站枢纽）带来的生态破坏和环境污染，</w:t>
      </w:r>
      <w:r>
        <w:rPr>
          <w:rFonts w:ascii="仿宋" w:hAnsi="仿宋" w:eastAsia="仿宋" w:cs="仿宋"/>
          <w:sz w:val="28"/>
          <w:szCs w:val="28"/>
        </w:rPr>
        <w:t>积极推进</w:t>
      </w:r>
      <w:r>
        <w:rPr>
          <w:rFonts w:hint="eastAsia" w:ascii="仿宋" w:hAnsi="仿宋" w:eastAsia="仿宋" w:cs="仿宋"/>
          <w:sz w:val="28"/>
          <w:szCs w:val="28"/>
        </w:rPr>
        <w:t>突泉县</w:t>
      </w:r>
      <w:r>
        <w:rPr>
          <w:rFonts w:ascii="仿宋" w:hAnsi="仿宋" w:eastAsia="仿宋" w:cs="仿宋"/>
          <w:sz w:val="28"/>
          <w:szCs w:val="28"/>
        </w:rPr>
        <w:t>交通运输绿色发展</w:t>
      </w:r>
      <w:r>
        <w:rPr>
          <w:rFonts w:hint="eastAsia" w:ascii="仿宋" w:hAnsi="仿宋" w:eastAsia="仿宋" w:cs="仿宋"/>
          <w:sz w:val="28"/>
          <w:szCs w:val="28"/>
        </w:rPr>
        <w:t>，</w:t>
      </w:r>
      <w:r>
        <w:rPr>
          <w:rFonts w:ascii="仿宋" w:hAnsi="仿宋" w:eastAsia="仿宋" w:cs="仿宋"/>
          <w:sz w:val="28"/>
          <w:szCs w:val="28"/>
        </w:rPr>
        <w:t>保护自然生态环境。</w:t>
      </w:r>
    </w:p>
    <w:p w14:paraId="6684484C">
      <w:pPr>
        <w:keepNext/>
        <w:keepLines/>
        <w:spacing w:line="360" w:lineRule="auto"/>
        <w:outlineLvl w:val="2"/>
        <w:rPr>
          <w:rFonts w:ascii="仿宋" w:hAnsi="仿宋" w:eastAsia="仿宋" w:cs="仿宋"/>
          <w:b/>
          <w:bCs/>
          <w:sz w:val="28"/>
          <w:szCs w:val="28"/>
        </w:rPr>
      </w:pPr>
      <w:r>
        <w:rPr>
          <w:rFonts w:hint="eastAsia" w:ascii="仿宋" w:hAnsi="仿宋" w:eastAsia="仿宋" w:cs="仿宋"/>
          <w:b/>
          <w:bCs/>
          <w:sz w:val="28"/>
          <w:szCs w:val="28"/>
        </w:rPr>
        <w:t>（七）完善地方环保法规体系，搭建信息化平台，加强环境监督</w:t>
      </w:r>
    </w:p>
    <w:p w14:paraId="3DD60098">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 xml:space="preserve">结合突泉县的实际情况，完善地方环保法规体系。重点制订、修订污染防治法规。强化监督管理，加大对违法行为的处罚力度。扩大环境执法队伍，加强环境监管力度建设。加强适应市场经济要求的环境经济政策研究，重视生态环境保护措施的经济有效性分析，适时开发经济激励手段。同时，健全环境保护建设的投融资机制，鼓励企业参与，吸引社会投入，加强国际合作。制订科学合理、公开的市场准入、推出制度，规范枢纽场站客货运输市场，加强政府主管部门对运输市场的监管力度，规范客货运输市场，加强对运输市场的监管力度，严厉打击不正当竞争行为；鼓励和培育开展联合运输业务的企业，形成几家经济实力强，服务范围广、服务质量高的大型联合运输企业或集团，改善综合交通枢纽的运营管理环境，为交通枢纽的可持续发展铺平道路。 </w:t>
      </w:r>
    </w:p>
    <w:p w14:paraId="19BF9EB1">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同时，在信息化办公室组织协调下，由商务局、工信局联合牵头，会同发改局、交通运输局等部门，结合交通、物流信息化标准建设，通过优化完善政府管理平台，搭建面向全社会的公共信息平台，实现行业主管部门、运输企业和社会公众之间信息的有机互动与共享，提高综合交通现代化水平。</w:t>
      </w:r>
      <w:r>
        <w:rPr>
          <w:rFonts w:ascii="仿宋" w:hAnsi="仿宋" w:eastAsia="仿宋" w:cs="仿宋"/>
          <w:sz w:val="28"/>
          <w:szCs w:val="28"/>
        </w:rPr>
        <w:t>加快交通运输应急平台建设，积极协调铁路、</w:t>
      </w:r>
      <w:r>
        <w:rPr>
          <w:rFonts w:hint="eastAsia" w:ascii="仿宋" w:hAnsi="仿宋" w:eastAsia="仿宋" w:cs="仿宋"/>
          <w:sz w:val="28"/>
          <w:szCs w:val="28"/>
        </w:rPr>
        <w:t>公路、</w:t>
      </w:r>
      <w:r>
        <w:rPr>
          <w:rFonts w:ascii="仿宋" w:hAnsi="仿宋" w:eastAsia="仿宋" w:cs="仿宋"/>
          <w:sz w:val="28"/>
          <w:szCs w:val="28"/>
        </w:rPr>
        <w:t>民航安全管理和应急救援，提高交通运输应急保障能力。</w:t>
      </w:r>
      <w:r>
        <w:rPr>
          <w:rFonts w:hint="eastAsia" w:ascii="仿宋" w:hAnsi="仿宋" w:eastAsia="仿宋" w:cs="仿宋"/>
          <w:sz w:val="28"/>
          <w:szCs w:val="28"/>
        </w:rPr>
        <w:t>以便更好地服务于枢纽、园区运营安全管理和公众出行信息发布，发挥交通枢纽、园区信息集成功能与扩散传播效应，提高突泉经济整体的运行效率和服务水平。</w:t>
      </w:r>
    </w:p>
    <w:p w14:paraId="290F9C0E">
      <w:pPr>
        <w:keepNext/>
        <w:keepLines/>
        <w:spacing w:line="360" w:lineRule="auto"/>
        <w:outlineLvl w:val="2"/>
        <w:rPr>
          <w:rFonts w:ascii="仿宋" w:hAnsi="仿宋" w:eastAsia="仿宋" w:cs="仿宋"/>
          <w:b/>
          <w:bCs/>
          <w:sz w:val="28"/>
          <w:szCs w:val="28"/>
        </w:rPr>
      </w:pPr>
      <w:bookmarkStart w:id="59" w:name="_Toc444615260"/>
      <w:bookmarkStart w:id="60" w:name="_Toc444615259"/>
      <w:bookmarkStart w:id="61" w:name="_Toc414606578"/>
      <w:r>
        <w:rPr>
          <w:rFonts w:hint="eastAsia" w:ascii="仿宋" w:hAnsi="仿宋" w:eastAsia="仿宋" w:cs="仿宋"/>
          <w:b/>
          <w:bCs/>
          <w:sz w:val="28"/>
          <w:szCs w:val="28"/>
        </w:rPr>
        <w:t>（八）重视人才队伍培养</w:t>
      </w:r>
      <w:bookmarkEnd w:id="59"/>
      <w:r>
        <w:rPr>
          <w:rFonts w:hint="eastAsia" w:ascii="仿宋" w:hAnsi="仿宋" w:eastAsia="仿宋" w:cs="仿宋"/>
          <w:b/>
          <w:bCs/>
          <w:sz w:val="28"/>
          <w:szCs w:val="28"/>
        </w:rPr>
        <w:t>，加强精神文明建设</w:t>
      </w:r>
      <w:bookmarkEnd w:id="60"/>
      <w:bookmarkEnd w:id="61"/>
    </w:p>
    <w:p w14:paraId="1E401652">
      <w:pPr>
        <w:ind w:firstLine="560" w:firstLineChars="200"/>
        <w:rPr>
          <w:rFonts w:ascii="仿宋" w:hAnsi="仿宋" w:eastAsia="仿宋" w:cs="仿宋"/>
          <w:sz w:val="28"/>
          <w:szCs w:val="28"/>
        </w:rPr>
      </w:pPr>
      <w:r>
        <w:rPr>
          <w:rFonts w:hint="eastAsia" w:ascii="仿宋" w:hAnsi="仿宋" w:eastAsia="仿宋" w:cs="仿宋"/>
          <w:sz w:val="28"/>
          <w:szCs w:val="28"/>
        </w:rPr>
        <w:t>扎实开展党的群众路线教育</w:t>
      </w:r>
      <w:r>
        <w:rPr>
          <w:rFonts w:hint="eastAsia" w:ascii="仿宋" w:hAnsi="仿宋" w:eastAsia="仿宋" w:cs="仿宋"/>
          <w:sz w:val="28"/>
          <w:szCs w:val="28"/>
          <w:lang w:val="en-US" w:eastAsia="zh-CN"/>
        </w:rPr>
        <w:t>实践</w:t>
      </w:r>
      <w:r>
        <w:rPr>
          <w:rFonts w:hint="eastAsia" w:ascii="仿宋" w:hAnsi="仿宋" w:eastAsia="仿宋" w:cs="仿宋"/>
          <w:sz w:val="28"/>
          <w:szCs w:val="28"/>
        </w:rPr>
        <w:t>活动。按照突泉县党的群众路线教育实践活动工作会议要求，通过“四治”和落实八项规定，认真贯彻执行《党政机关国内公务接待管理规定》、《党政机关厉行节约反对浪费条例》等规定，着力改正“四风”问题，切实转变机关作风。深入开展文明创建工作，全面深化党风廉政建设。以交通工程建设项目监管为重点，落实纪检监察派驻制度，强化过程监督，推进信息公开，实施动态监控，打造“廉政阳光工程”。加强执法监察，规范涉路涉车执法行为，杜绝公路“三乱”，打造“廉政阳光执法”。加强行业监管，解决人民群众反映强烈的突出问题，提升交通运输服务质量，打造“廉政阳光服务”。</w:t>
      </w:r>
    </w:p>
    <w:p w14:paraId="10845F94">
      <w:pPr>
        <w:ind w:firstLine="560" w:firstLineChars="200"/>
        <w:rPr>
          <w:rFonts w:ascii="仿宋" w:hAnsi="仿宋" w:eastAsia="仿宋" w:cs="仿宋"/>
          <w:sz w:val="28"/>
          <w:szCs w:val="28"/>
        </w:rPr>
      </w:pPr>
      <w:r>
        <w:rPr>
          <w:rFonts w:hint="eastAsia" w:ascii="仿宋" w:hAnsi="仿宋" w:eastAsia="仿宋" w:cs="仿宋"/>
          <w:sz w:val="28"/>
          <w:szCs w:val="28"/>
        </w:rPr>
        <w:t>加强科技人才培养，建立一支面向信息化、智能化交通管理，具备专业技术技能的队伍，建立人才可持续发展的长效机制。</w:t>
      </w:r>
      <w:bookmarkStart w:id="62" w:name="_Toc404861133"/>
      <w:r>
        <w:rPr>
          <w:rFonts w:hint="eastAsia" w:ascii="仿宋" w:hAnsi="仿宋" w:eastAsia="仿宋" w:cs="仿宋"/>
          <w:sz w:val="28"/>
          <w:szCs w:val="28"/>
        </w:rPr>
        <w:t>加强党政人才服务科学发展和转型升级的能力，保障平台建设顺利推进。一方面，加大不同层次的学习培训力度，切实提高领导干部的科学理论水平；另一方面，选派一批领导干部和优秀年轻后备干部，到空间拓展、招商引资、重点工程、重大项目等经济一线进行锻炼，为他们的健康成长提供舞台。着力引进高端人才，充分依托重点平台集聚人才，引进人才要与民间资本相对接，成立人才创业引导基金；围绕现代产业集群发展，依托重点平台、重点项目引进培育一批产业发展急需紧缺高端人才，加快产业转型升级。</w:t>
      </w:r>
      <w:bookmarkEnd w:id="62"/>
      <w:r>
        <w:rPr>
          <w:rFonts w:hint="eastAsia" w:ascii="仿宋" w:hAnsi="仿宋" w:eastAsia="仿宋" w:cs="仿宋"/>
          <w:sz w:val="28"/>
          <w:szCs w:val="28"/>
        </w:rPr>
        <w:t>根据现代化交通管理工作的需要，优化改善学历、专业和年龄结构，确定各项有关的人才数量指标，以形成合理梯队；注重及时补充空缺的专业技术人员岗位，增加交通工程和交通管理等大量急需专业的技术人员；提高引进人才的档次，着重在具有研究生学历或具有高级职称的人员中聘用急需的交通管理科技人才，突出实施开发企业人才。</w:t>
      </w:r>
    </w:p>
    <w:p w14:paraId="0D94F7B0">
      <w:pPr>
        <w:keepNext/>
        <w:keepLines/>
        <w:spacing w:line="360" w:lineRule="auto"/>
        <w:outlineLvl w:val="2"/>
        <w:rPr>
          <w:rFonts w:ascii="仿宋" w:hAnsi="仿宋" w:eastAsia="仿宋" w:cs="仿宋"/>
          <w:b/>
          <w:bCs/>
          <w:sz w:val="28"/>
          <w:szCs w:val="28"/>
        </w:rPr>
      </w:pPr>
      <w:r>
        <w:rPr>
          <w:rFonts w:hint="eastAsia" w:ascii="仿宋" w:hAnsi="仿宋" w:eastAsia="仿宋" w:cs="仿宋"/>
          <w:b/>
          <w:bCs/>
          <w:sz w:val="28"/>
          <w:szCs w:val="28"/>
        </w:rPr>
        <w:t>（九）积极</w:t>
      </w:r>
      <w:r>
        <w:rPr>
          <w:rFonts w:ascii="仿宋" w:hAnsi="仿宋" w:eastAsia="仿宋" w:cs="仿宋"/>
          <w:b/>
          <w:bCs/>
          <w:sz w:val="28"/>
          <w:szCs w:val="28"/>
        </w:rPr>
        <w:t>制定交通对策，</w:t>
      </w:r>
      <w:r>
        <w:rPr>
          <w:rFonts w:hint="eastAsia" w:ascii="仿宋" w:hAnsi="仿宋" w:eastAsia="仿宋" w:cs="仿宋"/>
          <w:b/>
          <w:bCs/>
          <w:sz w:val="28"/>
          <w:szCs w:val="28"/>
        </w:rPr>
        <w:t>应对后疫情时代新变化</w:t>
      </w:r>
    </w:p>
    <w:p w14:paraId="28A248CF">
      <w:pPr>
        <w:ind w:firstLine="560" w:firstLineChars="200"/>
        <w:rPr>
          <w:rFonts w:ascii="仿宋" w:hAnsi="仿宋" w:eastAsia="仿宋" w:cs="仿宋"/>
          <w:sz w:val="28"/>
          <w:szCs w:val="28"/>
        </w:rPr>
      </w:pPr>
      <w:r>
        <w:rPr>
          <w:rFonts w:hint="eastAsia" w:ascii="仿宋" w:hAnsi="仿宋" w:eastAsia="仿宋" w:cs="仿宋"/>
          <w:sz w:val="28"/>
          <w:szCs w:val="28"/>
        </w:rPr>
        <w:t>后疫情时代下，城市交通的基本逻辑没有改变，但疫情会给城市交通带来新的治理要求、需求特征和供给方式。在交通强国建设的引领下</w:t>
      </w:r>
      <w:r>
        <w:rPr>
          <w:rFonts w:ascii="仿宋" w:hAnsi="仿宋" w:eastAsia="仿宋" w:cs="仿宋"/>
          <w:sz w:val="28"/>
          <w:szCs w:val="28"/>
        </w:rPr>
        <w:t>交通运输系统如何发挥作用、如何进行组织等问题</w:t>
      </w:r>
      <w:r>
        <w:rPr>
          <w:rFonts w:hint="eastAsia" w:ascii="仿宋" w:hAnsi="仿宋" w:eastAsia="仿宋" w:cs="仿宋"/>
          <w:sz w:val="28"/>
          <w:szCs w:val="28"/>
        </w:rPr>
        <w:t>是应对后疫情时代的重大问题，</w:t>
      </w:r>
      <w:r>
        <w:rPr>
          <w:rFonts w:ascii="仿宋" w:hAnsi="仿宋" w:eastAsia="仿宋" w:cs="仿宋"/>
          <w:sz w:val="28"/>
          <w:szCs w:val="28"/>
        </w:rPr>
        <w:t>因此，</w:t>
      </w:r>
      <w:r>
        <w:rPr>
          <w:rFonts w:hint="eastAsia" w:ascii="仿宋" w:hAnsi="仿宋" w:eastAsia="仿宋" w:cs="仿宋"/>
          <w:sz w:val="28"/>
          <w:szCs w:val="28"/>
        </w:rPr>
        <w:t>政府需制定应急交通对策，权衡不同场景战略下的发展，积极应对后疫情时代下的多方面</w:t>
      </w:r>
      <w:r>
        <w:rPr>
          <w:rFonts w:ascii="仿宋" w:hAnsi="仿宋" w:eastAsia="仿宋" w:cs="仿宋"/>
          <w:sz w:val="28"/>
          <w:szCs w:val="28"/>
        </w:rPr>
        <w:t>不确定性</w:t>
      </w:r>
      <w:r>
        <w:rPr>
          <w:rFonts w:hint="eastAsia" w:ascii="仿宋" w:hAnsi="仿宋" w:eastAsia="仿宋" w:cs="仿宋"/>
          <w:sz w:val="28"/>
          <w:szCs w:val="28"/>
        </w:rPr>
        <w:t>，</w:t>
      </w:r>
      <w:r>
        <w:rPr>
          <w:rFonts w:ascii="仿宋" w:hAnsi="仿宋" w:eastAsia="仿宋" w:cs="仿宋"/>
          <w:sz w:val="28"/>
          <w:szCs w:val="28"/>
        </w:rPr>
        <w:t>增强系统的韧性，</w:t>
      </w:r>
      <w:r>
        <w:rPr>
          <w:rFonts w:hint="eastAsia" w:ascii="仿宋" w:hAnsi="仿宋" w:eastAsia="仿宋" w:cs="仿宋"/>
          <w:sz w:val="28"/>
          <w:szCs w:val="28"/>
        </w:rPr>
        <w:t>同时</w:t>
      </w:r>
      <w:r>
        <w:rPr>
          <w:rFonts w:ascii="仿宋" w:hAnsi="仿宋" w:eastAsia="仿宋" w:cs="仿宋"/>
          <w:sz w:val="28"/>
          <w:szCs w:val="28"/>
        </w:rPr>
        <w:t>加强数据协调和共享</w:t>
      </w:r>
      <w:r>
        <w:rPr>
          <w:rFonts w:hint="eastAsia" w:ascii="仿宋" w:hAnsi="仿宋" w:eastAsia="仿宋" w:cs="仿宋"/>
          <w:sz w:val="28"/>
          <w:szCs w:val="28"/>
        </w:rPr>
        <w:t>，开放合作</w:t>
      </w:r>
      <w:r>
        <w:rPr>
          <w:rFonts w:ascii="仿宋" w:hAnsi="仿宋" w:eastAsia="仿宋" w:cs="仿宋"/>
          <w:sz w:val="28"/>
          <w:szCs w:val="28"/>
        </w:rPr>
        <w:t>，</w:t>
      </w:r>
      <w:r>
        <w:rPr>
          <w:rFonts w:hint="eastAsia" w:ascii="仿宋" w:hAnsi="仿宋" w:eastAsia="仿宋" w:cs="仿宋"/>
          <w:sz w:val="28"/>
          <w:szCs w:val="28"/>
        </w:rPr>
        <w:t>在智能化、信息化、数字化的基础设施、服务系统和治理体系上有所突破</w:t>
      </w:r>
      <w:r>
        <w:rPr>
          <w:rFonts w:ascii="仿宋" w:hAnsi="仿宋" w:eastAsia="仿宋" w:cs="仿宋"/>
          <w:sz w:val="28"/>
          <w:szCs w:val="28"/>
        </w:rPr>
        <w:t>以及协调政策干预与财务政策</w:t>
      </w:r>
      <w:r>
        <w:rPr>
          <w:rFonts w:hint="eastAsia" w:ascii="仿宋" w:hAnsi="仿宋" w:eastAsia="仿宋" w:cs="仿宋"/>
          <w:sz w:val="28"/>
          <w:szCs w:val="28"/>
        </w:rPr>
        <w:t>，</w:t>
      </w:r>
      <w:r>
        <w:rPr>
          <w:rFonts w:ascii="仿宋" w:hAnsi="仿宋" w:eastAsia="仿宋" w:cs="仿宋"/>
          <w:sz w:val="28"/>
          <w:szCs w:val="28"/>
        </w:rPr>
        <w:t>并为最终战胜疫情后的出行世界打下基础</w:t>
      </w:r>
      <w:r>
        <w:rPr>
          <w:rFonts w:hint="eastAsia" w:ascii="仿宋" w:hAnsi="仿宋" w:eastAsia="仿宋" w:cs="仿宋"/>
          <w:sz w:val="28"/>
          <w:szCs w:val="28"/>
        </w:rPr>
        <w:t>。</w:t>
      </w:r>
    </w:p>
    <w:p w14:paraId="08323849">
      <w:pPr>
        <w:widowControl/>
        <w:spacing w:after="180"/>
        <w:ind w:firstLine="480"/>
        <w:rPr>
          <w:rFonts w:ascii="仿宋" w:hAnsi="仿宋" w:eastAsia="仿宋" w:cs="仿宋"/>
          <w:sz w:val="28"/>
          <w:szCs w:val="28"/>
        </w:rPr>
      </w:pPr>
      <w:r>
        <w:rPr>
          <w:rFonts w:hint="eastAsia" w:ascii="仿宋" w:hAnsi="仿宋" w:eastAsia="仿宋" w:cs="仿宋"/>
          <w:sz w:val="28"/>
          <w:szCs w:val="28"/>
        </w:rPr>
        <w:t>疫情催生变革，抢抓创新机遇。疫情对交通运输行业带来冲击的同时，也在某种程度上也催生新需求，带来新变化，政府可审时度势，</w:t>
      </w:r>
      <w:r>
        <w:rPr>
          <w:rFonts w:ascii="仿宋" w:hAnsi="仿宋" w:eastAsia="仿宋" w:cs="仿宋"/>
          <w:sz w:val="28"/>
          <w:szCs w:val="28"/>
        </w:rPr>
        <w:t>把握好大势，</w:t>
      </w:r>
      <w:r>
        <w:rPr>
          <w:rFonts w:hint="eastAsia" w:ascii="仿宋" w:hAnsi="仿宋" w:eastAsia="仿宋" w:cs="仿宋"/>
          <w:sz w:val="28"/>
          <w:szCs w:val="28"/>
        </w:rPr>
        <w:t>为城市交通发展提供</w:t>
      </w:r>
      <w:r>
        <w:rPr>
          <w:rFonts w:ascii="仿宋" w:hAnsi="仿宋" w:eastAsia="仿宋" w:cs="仿宋"/>
          <w:sz w:val="28"/>
          <w:szCs w:val="28"/>
        </w:rPr>
        <w:t>更强的发展动力。互联网和移动通讯技术高速发展，非现场、非接触的沟通方式已更加成熟</w:t>
      </w:r>
      <w:r>
        <w:rPr>
          <w:rFonts w:hint="eastAsia" w:ascii="仿宋" w:hAnsi="仿宋" w:eastAsia="仿宋" w:cs="仿宋"/>
          <w:sz w:val="28"/>
          <w:szCs w:val="28"/>
        </w:rPr>
        <w:t>。</w:t>
      </w:r>
      <w:r>
        <w:rPr>
          <w:rFonts w:ascii="仿宋" w:hAnsi="仿宋" w:eastAsia="仿宋" w:cs="仿宋"/>
          <w:sz w:val="28"/>
          <w:szCs w:val="28"/>
        </w:rPr>
        <w:t>鼓励</w:t>
      </w:r>
      <w:r>
        <w:rPr>
          <w:rFonts w:hint="eastAsia" w:ascii="仿宋" w:hAnsi="仿宋" w:eastAsia="仿宋" w:cs="仿宋"/>
          <w:sz w:val="28"/>
          <w:szCs w:val="28"/>
        </w:rPr>
        <w:t>远程办公新模式，</w:t>
      </w:r>
      <w:r>
        <w:rPr>
          <w:rFonts w:ascii="仿宋" w:hAnsi="仿宋" w:eastAsia="仿宋" w:cs="仿宋"/>
          <w:sz w:val="28"/>
          <w:szCs w:val="28"/>
        </w:rPr>
        <w:t>促进弹性出行的增加，城市交通的时空分布荷载将更加均衡，整体运行效率得到</w:t>
      </w:r>
      <w:r>
        <w:rPr>
          <w:rFonts w:hint="eastAsia" w:ascii="仿宋" w:hAnsi="仿宋" w:eastAsia="仿宋" w:cs="仿宋"/>
          <w:sz w:val="28"/>
          <w:szCs w:val="28"/>
        </w:rPr>
        <w:t>显著</w:t>
      </w:r>
      <w:r>
        <w:rPr>
          <w:rFonts w:ascii="仿宋" w:hAnsi="仿宋" w:eastAsia="仿宋" w:cs="仿宋"/>
          <w:sz w:val="28"/>
          <w:szCs w:val="28"/>
        </w:rPr>
        <w:t>提高。数字化替代</w:t>
      </w:r>
      <w:r>
        <w:rPr>
          <w:rFonts w:hint="eastAsia" w:ascii="仿宋" w:hAnsi="仿宋" w:eastAsia="仿宋" w:cs="仿宋"/>
          <w:sz w:val="28"/>
          <w:szCs w:val="28"/>
        </w:rPr>
        <w:t>的</w:t>
      </w:r>
      <w:r>
        <w:rPr>
          <w:rFonts w:ascii="仿宋" w:hAnsi="仿宋" w:eastAsia="仿宋" w:cs="仿宋"/>
          <w:sz w:val="28"/>
          <w:szCs w:val="28"/>
        </w:rPr>
        <w:t>出现</w:t>
      </w:r>
      <w:r>
        <w:rPr>
          <w:rFonts w:hint="eastAsia" w:ascii="仿宋" w:hAnsi="仿宋" w:eastAsia="仿宋" w:cs="仿宋"/>
          <w:sz w:val="28"/>
          <w:szCs w:val="28"/>
        </w:rPr>
        <w:t>，政府应积极鼓励网约车平台、共享单车企业抓住机会，利用自身互联网优势，进一步拉近与乘客用户的关系，更大规模普及预约出行和无人配送等。</w:t>
      </w:r>
      <w:r>
        <w:rPr>
          <w:rFonts w:ascii="仿宋" w:hAnsi="仿宋" w:eastAsia="仿宋" w:cs="仿宋"/>
          <w:sz w:val="28"/>
          <w:szCs w:val="28"/>
        </w:rPr>
        <w:t>共享交通和大运量交通</w:t>
      </w:r>
      <w:r>
        <w:rPr>
          <w:rFonts w:hint="eastAsia" w:ascii="仿宋" w:hAnsi="仿宋" w:eastAsia="仿宋" w:cs="仿宋"/>
          <w:sz w:val="28"/>
          <w:szCs w:val="28"/>
        </w:rPr>
        <w:t>应</w:t>
      </w:r>
      <w:r>
        <w:rPr>
          <w:rFonts w:ascii="仿宋" w:hAnsi="仿宋" w:eastAsia="仿宋" w:cs="仿宋"/>
          <w:sz w:val="28"/>
          <w:szCs w:val="28"/>
        </w:rPr>
        <w:t>从健康和卫生的角度对其端到端业务和与客户的互动进行全面评估</w:t>
      </w:r>
      <w:r>
        <w:rPr>
          <w:rFonts w:hint="eastAsia" w:ascii="仿宋" w:hAnsi="仿宋" w:eastAsia="仿宋" w:cs="仿宋"/>
          <w:sz w:val="28"/>
          <w:szCs w:val="28"/>
        </w:rPr>
        <w:t>，</w:t>
      </w:r>
      <w:r>
        <w:rPr>
          <w:rFonts w:ascii="仿宋" w:hAnsi="仿宋" w:eastAsia="仿宋" w:cs="仿宋"/>
          <w:sz w:val="28"/>
          <w:szCs w:val="28"/>
        </w:rPr>
        <w:t>部署最高等级的措施，并向用户和公众有效地传达</w:t>
      </w:r>
      <w:r>
        <w:rPr>
          <w:rFonts w:hint="eastAsia" w:ascii="仿宋" w:hAnsi="仿宋" w:eastAsia="仿宋" w:cs="仿宋"/>
          <w:sz w:val="28"/>
          <w:szCs w:val="28"/>
        </w:rPr>
        <w:t>。</w:t>
      </w:r>
      <w:r>
        <w:rPr>
          <w:rFonts w:ascii="仿宋" w:hAnsi="仿宋" w:eastAsia="仿宋" w:cs="仿宋"/>
          <w:sz w:val="28"/>
          <w:szCs w:val="28"/>
        </w:rPr>
        <w:t>在线零售和最后一公里配送业务</w:t>
      </w:r>
      <w:r>
        <w:rPr>
          <w:rFonts w:hint="eastAsia" w:ascii="仿宋" w:hAnsi="仿宋" w:eastAsia="仿宋" w:cs="仿宋"/>
          <w:sz w:val="28"/>
          <w:szCs w:val="28"/>
        </w:rPr>
        <w:t>由于疫情将会继续快速增长</w:t>
      </w:r>
      <w:r>
        <w:rPr>
          <w:rFonts w:ascii="仿宋" w:hAnsi="仿宋" w:eastAsia="仿宋" w:cs="仿宋"/>
          <w:sz w:val="28"/>
          <w:szCs w:val="28"/>
        </w:rPr>
        <w:t>，出行公司</w:t>
      </w:r>
      <w:r>
        <w:rPr>
          <w:rFonts w:hint="eastAsia" w:ascii="仿宋" w:hAnsi="仿宋" w:eastAsia="仿宋" w:cs="仿宋"/>
          <w:sz w:val="28"/>
          <w:szCs w:val="28"/>
        </w:rPr>
        <w:t>可充分抓住这一领域发展的新契机。</w:t>
      </w:r>
      <w:r>
        <w:rPr>
          <w:rFonts w:ascii="仿宋" w:hAnsi="仿宋" w:eastAsia="仿宋" w:cs="仿宋"/>
          <w:sz w:val="28"/>
          <w:szCs w:val="28"/>
        </w:rPr>
        <w:t>在整个运输生态系统中，出行已经是一个高度动态行为，在未来几个月内，出行则会更多变。</w:t>
      </w:r>
      <w:r>
        <w:rPr>
          <w:rFonts w:hint="eastAsia" w:ascii="仿宋" w:hAnsi="仿宋" w:eastAsia="仿宋" w:cs="仿宋"/>
          <w:sz w:val="28"/>
          <w:szCs w:val="28"/>
        </w:rPr>
        <w:t>积极促进公私</w:t>
      </w:r>
      <w:r>
        <w:rPr>
          <w:rFonts w:ascii="仿宋" w:hAnsi="仿宋" w:eastAsia="仿宋" w:cs="仿宋"/>
          <w:sz w:val="28"/>
          <w:szCs w:val="28"/>
        </w:rPr>
        <w:t>合作，开辟强大而活跃的市场、竞争者和系统感知能力。</w:t>
      </w:r>
    </w:p>
    <w:p w14:paraId="4DECDBC1">
      <w:pPr>
        <w:ind w:firstLine="560" w:firstLineChars="200"/>
        <w:rPr>
          <w:rFonts w:ascii="仿宋" w:hAnsi="仿宋" w:eastAsia="仿宋" w:cs="仿宋"/>
          <w:sz w:val="28"/>
          <w:szCs w:val="28"/>
        </w:rPr>
      </w:pPr>
      <w:r>
        <w:rPr>
          <w:rFonts w:ascii="仿宋" w:hAnsi="仿宋" w:eastAsia="仿宋" w:cs="仿宋"/>
          <w:sz w:val="28"/>
          <w:szCs w:val="28"/>
        </w:rPr>
        <w:t>制定常态和应急状态下的交通对策。更精细化的城市交通治理，</w:t>
      </w:r>
      <w:r>
        <w:rPr>
          <w:rFonts w:hint="eastAsia" w:ascii="仿宋" w:hAnsi="仿宋" w:eastAsia="仿宋" w:cs="仿宋"/>
          <w:sz w:val="28"/>
          <w:szCs w:val="28"/>
        </w:rPr>
        <w:t>既需要</w:t>
      </w:r>
      <w:r>
        <w:rPr>
          <w:rFonts w:ascii="仿宋" w:hAnsi="仿宋" w:eastAsia="仿宋" w:cs="仿宋"/>
          <w:sz w:val="28"/>
          <w:szCs w:val="28"/>
        </w:rPr>
        <w:t>常态化的交通组织和管控措施，还应特别制定紧急状态下的应急交通预案，并落实于城市交通的规划、建设和管理各个阶段，以此在灾害或者重大突发事件下，城市交通运输系统依然可以部分维持自身基本的运行条件，为配合城市防灾、减灾或者应对突发事件提供所需的应急交通保障。如何保证灾害到来时城市最重要的生命线运输通道不瘫痪，应在交通设施的规划和建设阶段就提前考虑。在当今极端气候、疫病传染、地区动荡似乎在日益增多的世界，各种不确定性也在增加，交通规划显然应该进一步加强应急交通保障的相关研究。</w:t>
      </w:r>
      <w:r>
        <w:rPr>
          <w:rFonts w:hint="eastAsia" w:ascii="仿宋" w:hAnsi="仿宋" w:eastAsia="仿宋" w:cs="仿宋"/>
          <w:sz w:val="28"/>
          <w:szCs w:val="28"/>
        </w:rPr>
        <w:t>根据</w:t>
      </w:r>
      <w:r>
        <w:rPr>
          <w:rFonts w:ascii="仿宋" w:hAnsi="仿宋" w:eastAsia="仿宋" w:cs="仿宋"/>
          <w:sz w:val="28"/>
          <w:szCs w:val="28"/>
        </w:rPr>
        <w:t>应急突发事件</w:t>
      </w:r>
      <w:r>
        <w:rPr>
          <w:rFonts w:hint="eastAsia" w:ascii="仿宋" w:hAnsi="仿宋" w:eastAsia="仿宋" w:cs="仿宋"/>
          <w:sz w:val="28"/>
          <w:szCs w:val="28"/>
        </w:rPr>
        <w:t>的</w:t>
      </w:r>
      <w:r>
        <w:rPr>
          <w:rFonts w:ascii="仿宋" w:hAnsi="仿宋" w:eastAsia="仿宋" w:cs="仿宋"/>
          <w:sz w:val="28"/>
          <w:szCs w:val="28"/>
        </w:rPr>
        <w:t>多样性，</w:t>
      </w:r>
      <w:r>
        <w:rPr>
          <w:rFonts w:hint="eastAsia" w:ascii="仿宋" w:hAnsi="仿宋" w:eastAsia="仿宋" w:cs="仿宋"/>
          <w:sz w:val="28"/>
          <w:szCs w:val="28"/>
        </w:rPr>
        <w:t>针对</w:t>
      </w:r>
      <w:r>
        <w:rPr>
          <w:rFonts w:ascii="仿宋" w:hAnsi="仿宋" w:eastAsia="仿宋" w:cs="仿宋"/>
          <w:sz w:val="28"/>
          <w:szCs w:val="28"/>
        </w:rPr>
        <w:t>不同类型的应急事件</w:t>
      </w:r>
      <w:r>
        <w:rPr>
          <w:rFonts w:hint="eastAsia" w:ascii="仿宋" w:hAnsi="仿宋" w:eastAsia="仿宋" w:cs="仿宋"/>
          <w:sz w:val="28"/>
          <w:szCs w:val="28"/>
        </w:rPr>
        <w:t>制定相应的交通治理对策。</w:t>
      </w:r>
    </w:p>
    <w:p w14:paraId="0639C3FC">
      <w:pPr>
        <w:ind w:firstLine="560" w:firstLineChars="200"/>
        <w:rPr>
          <w:rFonts w:ascii="仿宋" w:hAnsi="仿宋" w:eastAsia="仿宋" w:cs="仿宋"/>
          <w:sz w:val="28"/>
          <w:szCs w:val="28"/>
        </w:rPr>
      </w:pPr>
      <w:r>
        <w:rPr>
          <w:rFonts w:hint="eastAsia" w:ascii="仿宋" w:hAnsi="仿宋" w:eastAsia="仿宋" w:cs="仿宋"/>
          <w:sz w:val="28"/>
          <w:szCs w:val="28"/>
        </w:rPr>
        <w:t>鼓励规划工作的社区下沉。鼓励社区内培养交通规划从业人员，提升社区级实施紧急隔离方案的合理性和专业性，提前准备应急预案并可快速执行。需建立规划工作的社区下沉机制，参与到社区或小区级别的日常管理、服务工作，探索规划工作社区下沉的机制、薪酬、流程制度。将交通规划工作由政策手段向社区服务扩展，由服务政府向提供公共服务扩展，突破相对小众的专业圈，直面公众，由服务政府到服务公众。</w:t>
      </w:r>
    </w:p>
    <w:p w14:paraId="5438DAED"/>
    <w:p w14:paraId="0A76475E">
      <w:pPr>
        <w:rPr>
          <w:rFonts w:ascii="仿宋" w:hAnsi="仿宋" w:eastAsia="仿宋" w:cs="仿宋"/>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寰蒋闆呴粦">
    <w:altName w:val="宋体"/>
    <w:panose1 w:val="00000000000000000000"/>
    <w:charset w:val="86"/>
    <w:family w:val="roman"/>
    <w:pitch w:val="default"/>
    <w:sig w:usb0="00000000" w:usb1="00000000" w:usb2="00000010" w:usb3="00000000" w:csb0="00040000" w:csb1="00000000"/>
  </w:font>
  <w:font w:name="Cambria Math">
    <w:panose1 w:val="02040503050406030204"/>
    <w:charset w:val="00"/>
    <w:family w:val="roman"/>
    <w:pitch w:val="default"/>
    <w:sig w:usb0="E00006FF" w:usb1="420024FF" w:usb2="02000000" w:usb3="00000000" w:csb0="2000019F" w:csb1="00000000"/>
  </w:font>
  <w:font w:name="Consolas">
    <w:panose1 w:val="020B0609020204030204"/>
    <w:charset w:val="00"/>
    <w:family w:val="modern"/>
    <w:pitch w:val="default"/>
    <w:sig w:usb0="E00006FF" w:usb1="0000FCFF" w:usb2="00000001" w:usb3="00000000" w:csb0="6000019F" w:csb1="DFD70000"/>
  </w:font>
  <w:font w:name="华文仿宋">
    <w:panose1 w:val="02010600040101010101"/>
    <w:charset w:val="86"/>
    <w:family w:val="auto"/>
    <w:pitch w:val="default"/>
    <w:sig w:usb0="00000287" w:usb1="080F0000" w:usb2="00000000" w:usb3="00000000" w:csb0="0004009F" w:csb1="DFD70000"/>
  </w:font>
  <w:font w:name="方正仿宋简体">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6A6501"/>
    <w:multiLevelType w:val="singleLevel"/>
    <w:tmpl w:val="EF6A6501"/>
    <w:lvl w:ilvl="0" w:tentative="0">
      <w:start w:val="6"/>
      <w:numFmt w:val="chineseCounting"/>
      <w:suff w:val="nothing"/>
      <w:lvlText w:val="（%1）"/>
      <w:lvlJc w:val="left"/>
      <w:rPr>
        <w:rFonts w:hint="eastAsia"/>
      </w:rPr>
    </w:lvl>
  </w:abstractNum>
  <w:abstractNum w:abstractNumId="1">
    <w:nsid w:val="FD226A01"/>
    <w:multiLevelType w:val="singleLevel"/>
    <w:tmpl w:val="FD226A01"/>
    <w:lvl w:ilvl="0" w:tentative="0">
      <w:start w:val="1"/>
      <w:numFmt w:val="chineseCounting"/>
      <w:suff w:val="nothing"/>
      <w:lvlText w:val="%1、"/>
      <w:lvlJc w:val="left"/>
      <w:rPr>
        <w:rFonts w:hint="eastAsia"/>
      </w:rPr>
    </w:lvl>
  </w:abstractNum>
  <w:abstractNum w:abstractNumId="2">
    <w:nsid w:val="0CAB35F0"/>
    <w:multiLevelType w:val="multilevel"/>
    <w:tmpl w:val="0CAB35F0"/>
    <w:lvl w:ilvl="0" w:tentative="0">
      <w:start w:val="3"/>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647499B"/>
    <w:multiLevelType w:val="multilevel"/>
    <w:tmpl w:val="1647499B"/>
    <w:lvl w:ilvl="0" w:tentative="0">
      <w:start w:val="1"/>
      <w:numFmt w:val="decimal"/>
      <w:lvlText w:val="%1)"/>
      <w:lvlJc w:val="left"/>
      <w:pPr>
        <w:ind w:left="1140" w:hanging="420"/>
      </w:p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4">
    <w:nsid w:val="1A974CA1"/>
    <w:multiLevelType w:val="multilevel"/>
    <w:tmpl w:val="1A974CA1"/>
    <w:lvl w:ilvl="0" w:tentative="0">
      <w:start w:val="1"/>
      <w:numFmt w:val="decimal"/>
      <w:lvlText w:val="（%1）"/>
      <w:lvlJc w:val="left"/>
      <w:pPr>
        <w:ind w:left="1202" w:hanging="72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5">
    <w:nsid w:val="45A7A855"/>
    <w:multiLevelType w:val="singleLevel"/>
    <w:tmpl w:val="45A7A855"/>
    <w:lvl w:ilvl="0" w:tentative="0">
      <w:start w:val="3"/>
      <w:numFmt w:val="decimal"/>
      <w:suff w:val="nothing"/>
      <w:lvlText w:val="（%1）"/>
      <w:lvlJc w:val="left"/>
    </w:lvl>
  </w:abstractNum>
  <w:abstractNum w:abstractNumId="6">
    <w:nsid w:val="4B9C5420"/>
    <w:multiLevelType w:val="multilevel"/>
    <w:tmpl w:val="4B9C5420"/>
    <w:lvl w:ilvl="0" w:tentative="0">
      <w:start w:val="1"/>
      <w:numFmt w:val="lowerLetter"/>
      <w:lvlText w:val="%1)"/>
      <w:lvlJc w:val="left"/>
      <w:pPr>
        <w:ind w:left="2580" w:hanging="420"/>
      </w:pPr>
    </w:lvl>
    <w:lvl w:ilvl="1" w:tentative="0">
      <w:start w:val="1"/>
      <w:numFmt w:val="lowerLetter"/>
      <w:lvlText w:val="%2)"/>
      <w:lvlJc w:val="left"/>
      <w:pPr>
        <w:ind w:left="3000" w:hanging="420"/>
      </w:pPr>
    </w:lvl>
    <w:lvl w:ilvl="2" w:tentative="0">
      <w:start w:val="1"/>
      <w:numFmt w:val="lowerRoman"/>
      <w:lvlText w:val="%3."/>
      <w:lvlJc w:val="right"/>
      <w:pPr>
        <w:ind w:left="3420" w:hanging="420"/>
      </w:pPr>
    </w:lvl>
    <w:lvl w:ilvl="3" w:tentative="0">
      <w:start w:val="1"/>
      <w:numFmt w:val="decimal"/>
      <w:lvlText w:val="%4."/>
      <w:lvlJc w:val="left"/>
      <w:pPr>
        <w:ind w:left="3840" w:hanging="420"/>
      </w:pPr>
    </w:lvl>
    <w:lvl w:ilvl="4" w:tentative="0">
      <w:start w:val="1"/>
      <w:numFmt w:val="lowerLetter"/>
      <w:lvlText w:val="%5)"/>
      <w:lvlJc w:val="left"/>
      <w:pPr>
        <w:ind w:left="4260" w:hanging="420"/>
      </w:pPr>
    </w:lvl>
    <w:lvl w:ilvl="5" w:tentative="0">
      <w:start w:val="1"/>
      <w:numFmt w:val="lowerRoman"/>
      <w:lvlText w:val="%6."/>
      <w:lvlJc w:val="right"/>
      <w:pPr>
        <w:ind w:left="4680" w:hanging="420"/>
      </w:pPr>
    </w:lvl>
    <w:lvl w:ilvl="6" w:tentative="0">
      <w:start w:val="1"/>
      <w:numFmt w:val="decimal"/>
      <w:lvlText w:val="%7."/>
      <w:lvlJc w:val="left"/>
      <w:pPr>
        <w:ind w:left="5100" w:hanging="420"/>
      </w:pPr>
    </w:lvl>
    <w:lvl w:ilvl="7" w:tentative="0">
      <w:start w:val="1"/>
      <w:numFmt w:val="lowerLetter"/>
      <w:lvlText w:val="%8)"/>
      <w:lvlJc w:val="left"/>
      <w:pPr>
        <w:ind w:left="5520" w:hanging="420"/>
      </w:pPr>
    </w:lvl>
    <w:lvl w:ilvl="8" w:tentative="0">
      <w:start w:val="1"/>
      <w:numFmt w:val="lowerRoman"/>
      <w:lvlText w:val="%9."/>
      <w:lvlJc w:val="right"/>
      <w:pPr>
        <w:ind w:left="5940" w:hanging="420"/>
      </w:pPr>
    </w:lvl>
  </w:abstractNum>
  <w:abstractNum w:abstractNumId="7">
    <w:nsid w:val="52E00AAA"/>
    <w:multiLevelType w:val="singleLevel"/>
    <w:tmpl w:val="52E00AAA"/>
    <w:lvl w:ilvl="0" w:tentative="0">
      <w:start w:val="2"/>
      <w:numFmt w:val="chineseCounting"/>
      <w:suff w:val="nothing"/>
      <w:lvlText w:val="（%1）"/>
      <w:lvlJc w:val="left"/>
      <w:rPr>
        <w:rFonts w:hint="eastAsia"/>
      </w:rPr>
    </w:lvl>
  </w:abstractNum>
  <w:abstractNum w:abstractNumId="8">
    <w:nsid w:val="565B1663"/>
    <w:multiLevelType w:val="multilevel"/>
    <w:tmpl w:val="565B1663"/>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2B160A5"/>
    <w:multiLevelType w:val="multilevel"/>
    <w:tmpl w:val="62B160A5"/>
    <w:lvl w:ilvl="0" w:tentative="0">
      <w:start w:val="1"/>
      <w:numFmt w:val="decimal"/>
      <w:lvlText w:val="（%1）"/>
      <w:lvlJc w:val="left"/>
      <w:pPr>
        <w:ind w:left="720" w:hanging="720"/>
      </w:pPr>
      <w:rPr>
        <w:rFonts w:hint="default"/>
      </w:rPr>
    </w:lvl>
    <w:lvl w:ilvl="1" w:tentative="0">
      <w:start w:val="1"/>
      <w:numFmt w:val="lowerLetter"/>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700B26EB"/>
    <w:multiLevelType w:val="multilevel"/>
    <w:tmpl w:val="700B26EB"/>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25F6801"/>
    <w:multiLevelType w:val="multilevel"/>
    <w:tmpl w:val="725F680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 w:numId="4">
    <w:abstractNumId w:val="10"/>
  </w:num>
  <w:num w:numId="5">
    <w:abstractNumId w:val="6"/>
  </w:num>
  <w:num w:numId="6">
    <w:abstractNumId w:val="4"/>
  </w:num>
  <w:num w:numId="7">
    <w:abstractNumId w:val="5"/>
  </w:num>
  <w:num w:numId="8">
    <w:abstractNumId w:val="9"/>
  </w:num>
  <w:num w:numId="9">
    <w:abstractNumId w:val="3"/>
  </w:num>
  <w:num w:numId="10">
    <w:abstractNumId w:val="11"/>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djNGZhNzc2NDJlMzU4ZmNjYTkzNmRjMjA3MDdjNmUifQ=="/>
  </w:docVars>
  <w:rsids>
    <w:rsidRoot w:val="5B904DA5"/>
    <w:rsid w:val="00046069"/>
    <w:rsid w:val="005C39AA"/>
    <w:rsid w:val="007416F3"/>
    <w:rsid w:val="00B24C4E"/>
    <w:rsid w:val="00B6518F"/>
    <w:rsid w:val="03C273BC"/>
    <w:rsid w:val="062D0CA2"/>
    <w:rsid w:val="08027857"/>
    <w:rsid w:val="0BC54620"/>
    <w:rsid w:val="10F966BC"/>
    <w:rsid w:val="12594060"/>
    <w:rsid w:val="12A619BA"/>
    <w:rsid w:val="19993ACE"/>
    <w:rsid w:val="19A075E2"/>
    <w:rsid w:val="1D2E3C98"/>
    <w:rsid w:val="1DB97881"/>
    <w:rsid w:val="1DFC5A12"/>
    <w:rsid w:val="208303CF"/>
    <w:rsid w:val="22B77F4A"/>
    <w:rsid w:val="2602167D"/>
    <w:rsid w:val="2E4841EF"/>
    <w:rsid w:val="30BE76CC"/>
    <w:rsid w:val="32AC360B"/>
    <w:rsid w:val="339A093E"/>
    <w:rsid w:val="33EB2740"/>
    <w:rsid w:val="36E636A1"/>
    <w:rsid w:val="375C028C"/>
    <w:rsid w:val="392C3714"/>
    <w:rsid w:val="3A660BB6"/>
    <w:rsid w:val="3AF25971"/>
    <w:rsid w:val="3B0650A6"/>
    <w:rsid w:val="3FAE666E"/>
    <w:rsid w:val="3FB86B84"/>
    <w:rsid w:val="423D7A00"/>
    <w:rsid w:val="45E71984"/>
    <w:rsid w:val="47B42D1D"/>
    <w:rsid w:val="4B423696"/>
    <w:rsid w:val="4D5720D4"/>
    <w:rsid w:val="4DA31EC3"/>
    <w:rsid w:val="50A31E90"/>
    <w:rsid w:val="521207EE"/>
    <w:rsid w:val="54C87412"/>
    <w:rsid w:val="554B6B82"/>
    <w:rsid w:val="56BB6509"/>
    <w:rsid w:val="59915DF8"/>
    <w:rsid w:val="5B904DA5"/>
    <w:rsid w:val="5C4363FF"/>
    <w:rsid w:val="5D1E7F99"/>
    <w:rsid w:val="60B60A66"/>
    <w:rsid w:val="61B70A7F"/>
    <w:rsid w:val="61DC639E"/>
    <w:rsid w:val="63FD1517"/>
    <w:rsid w:val="640376B3"/>
    <w:rsid w:val="65A54ADB"/>
    <w:rsid w:val="6F414506"/>
    <w:rsid w:val="6FDB657A"/>
    <w:rsid w:val="736313C6"/>
    <w:rsid w:val="73B558D7"/>
    <w:rsid w:val="77B000F2"/>
    <w:rsid w:val="7B4E5BE7"/>
    <w:rsid w:val="7C5654D4"/>
    <w:rsid w:val="7CD24BFA"/>
    <w:rsid w:val="7F94506A"/>
    <w:rsid w:val="7FC778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99"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qFormat/>
    <w:uiPriority w:val="99"/>
    <w:pPr>
      <w:keepNext/>
      <w:keepLines/>
      <w:spacing w:before="120" w:after="120" w:line="360" w:lineRule="auto"/>
      <w:outlineLvl w:val="2"/>
    </w:pPr>
    <w:rPr>
      <w:b/>
      <w:bCs/>
      <w:sz w:val="32"/>
      <w:szCs w:val="32"/>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2" w:lineRule="auto"/>
      <w:outlineLvl w:val="4"/>
    </w:pPr>
    <w:rPr>
      <w:b/>
      <w:sz w:val="28"/>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7">
    <w:name w:val="Body Text"/>
    <w:basedOn w:val="1"/>
    <w:qFormat/>
    <w:uiPriority w:val="1"/>
    <w:pPr>
      <w:autoSpaceDE w:val="0"/>
      <w:autoSpaceDN w:val="0"/>
      <w:ind w:left="242"/>
      <w:jc w:val="left"/>
    </w:pPr>
    <w:rPr>
      <w:rFonts w:ascii="宋体" w:hAnsi="宋体" w:cs="宋体"/>
      <w:kern w:val="0"/>
      <w:sz w:val="28"/>
      <w:szCs w:val="28"/>
      <w:lang w:val="zh-CN" w:bidi="zh-CN"/>
    </w:rPr>
  </w:style>
  <w:style w:type="paragraph" w:styleId="8">
    <w:name w:val="HTML Preformatted"/>
    <w:basedOn w:val="1"/>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rPr>
  </w:style>
  <w:style w:type="paragraph" w:styleId="9">
    <w:name w:val="Normal (Web)"/>
    <w:basedOn w:val="1"/>
    <w:qFormat/>
    <w:uiPriority w:val="0"/>
    <w:pPr>
      <w:spacing w:before="100" w:beforeAutospacing="1" w:after="100" w:afterAutospacing="1"/>
      <w:jc w:val="left"/>
    </w:pPr>
    <w:rPr>
      <w:kern w:val="0"/>
      <w:sz w:val="24"/>
      <w:szCs w:val="20"/>
    </w:r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qFormat/>
    <w:uiPriority w:val="22"/>
    <w:rPr>
      <w:b/>
      <w:bCs/>
    </w:rPr>
  </w:style>
  <w:style w:type="paragraph" w:styleId="14">
    <w:name w:val="No Spacing"/>
    <w:qFormat/>
    <w:uiPriority w:val="1"/>
    <w:rPr>
      <w:rFonts w:ascii="Calibri" w:hAnsi="Calibri" w:eastAsia="宋体" w:cs="Times New Roman"/>
      <w:sz w:val="22"/>
      <w:szCs w:val="22"/>
      <w:lang w:val="en-US" w:eastAsia="zh-CN" w:bidi="ar-SA"/>
    </w:rPr>
  </w:style>
  <w:style w:type="paragraph" w:styleId="15">
    <w:name w:val="List Paragraph"/>
    <w:basedOn w:val="1"/>
    <w:qFormat/>
    <w:uiPriority w:val="34"/>
    <w:pPr>
      <w:ind w:firstLine="420" w:firstLineChars="200"/>
    </w:pPr>
  </w:style>
  <w:style w:type="table" w:customStyle="1" w:styleId="16">
    <w:name w:val="无格式表格 21"/>
    <w:basedOn w:val="1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17">
    <w:name w:val="无格式表格 51"/>
    <w:basedOn w:val="10"/>
    <w:qFormat/>
    <w:uiPriority w:val="45"/>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s>
</file>

<file path=word/_rels/document.xml.rels><?xml version="1.0" encoding="UTF-8" standalone="yes"?>
<Relationships xmlns="http://schemas.openxmlformats.org/package/2006/relationships"><Relationship Id="rId99" Type="http://schemas.openxmlformats.org/officeDocument/2006/relationships/image" Target="media/image41.wmf"/><Relationship Id="rId98" Type="http://schemas.openxmlformats.org/officeDocument/2006/relationships/oleObject" Target="embeddings/oleObject53.bin"/><Relationship Id="rId97" Type="http://schemas.openxmlformats.org/officeDocument/2006/relationships/image" Target="media/image40.wmf"/><Relationship Id="rId96" Type="http://schemas.openxmlformats.org/officeDocument/2006/relationships/oleObject" Target="embeddings/oleObject52.bin"/><Relationship Id="rId95" Type="http://schemas.openxmlformats.org/officeDocument/2006/relationships/image" Target="media/image39.wmf"/><Relationship Id="rId94" Type="http://schemas.openxmlformats.org/officeDocument/2006/relationships/oleObject" Target="embeddings/oleObject51.bin"/><Relationship Id="rId93" Type="http://schemas.openxmlformats.org/officeDocument/2006/relationships/image" Target="media/image38.wmf"/><Relationship Id="rId92" Type="http://schemas.openxmlformats.org/officeDocument/2006/relationships/oleObject" Target="embeddings/oleObject50.bin"/><Relationship Id="rId91" Type="http://schemas.openxmlformats.org/officeDocument/2006/relationships/image" Target="media/image37.wmf"/><Relationship Id="rId90" Type="http://schemas.openxmlformats.org/officeDocument/2006/relationships/oleObject" Target="embeddings/oleObject49.bin"/><Relationship Id="rId9" Type="http://schemas.openxmlformats.org/officeDocument/2006/relationships/image" Target="media/image3.wmf"/><Relationship Id="rId89" Type="http://schemas.openxmlformats.org/officeDocument/2006/relationships/image" Target="media/image36.wmf"/><Relationship Id="rId88" Type="http://schemas.openxmlformats.org/officeDocument/2006/relationships/oleObject" Target="embeddings/oleObject48.bin"/><Relationship Id="rId87" Type="http://schemas.openxmlformats.org/officeDocument/2006/relationships/image" Target="media/image35.wmf"/><Relationship Id="rId86" Type="http://schemas.openxmlformats.org/officeDocument/2006/relationships/oleObject" Target="embeddings/oleObject47.bin"/><Relationship Id="rId85" Type="http://schemas.openxmlformats.org/officeDocument/2006/relationships/oleObject" Target="embeddings/oleObject46.bin"/><Relationship Id="rId84" Type="http://schemas.openxmlformats.org/officeDocument/2006/relationships/image" Target="media/image34.wmf"/><Relationship Id="rId83" Type="http://schemas.openxmlformats.org/officeDocument/2006/relationships/oleObject" Target="embeddings/oleObject45.bin"/><Relationship Id="rId82" Type="http://schemas.openxmlformats.org/officeDocument/2006/relationships/oleObject" Target="embeddings/oleObject44.bin"/><Relationship Id="rId81" Type="http://schemas.openxmlformats.org/officeDocument/2006/relationships/oleObject" Target="embeddings/oleObject43.bin"/><Relationship Id="rId80" Type="http://schemas.openxmlformats.org/officeDocument/2006/relationships/oleObject" Target="embeddings/oleObject42.bin"/><Relationship Id="rId8" Type="http://schemas.openxmlformats.org/officeDocument/2006/relationships/oleObject" Target="embeddings/oleObject1.bin"/><Relationship Id="rId79" Type="http://schemas.openxmlformats.org/officeDocument/2006/relationships/image" Target="media/image33.wmf"/><Relationship Id="rId78" Type="http://schemas.openxmlformats.org/officeDocument/2006/relationships/oleObject" Target="embeddings/oleObject41.bin"/><Relationship Id="rId77" Type="http://schemas.openxmlformats.org/officeDocument/2006/relationships/oleObject" Target="embeddings/oleObject40.bin"/><Relationship Id="rId76" Type="http://schemas.openxmlformats.org/officeDocument/2006/relationships/image" Target="media/image32.wmf"/><Relationship Id="rId75" Type="http://schemas.openxmlformats.org/officeDocument/2006/relationships/oleObject" Target="embeddings/oleObject39.bin"/><Relationship Id="rId74" Type="http://schemas.openxmlformats.org/officeDocument/2006/relationships/image" Target="media/image31.wmf"/><Relationship Id="rId73" Type="http://schemas.openxmlformats.org/officeDocument/2006/relationships/oleObject" Target="embeddings/oleObject38.bin"/><Relationship Id="rId72" Type="http://schemas.openxmlformats.org/officeDocument/2006/relationships/image" Target="media/image30.wmf"/><Relationship Id="rId71" Type="http://schemas.openxmlformats.org/officeDocument/2006/relationships/oleObject" Target="embeddings/oleObject37.bin"/><Relationship Id="rId70" Type="http://schemas.openxmlformats.org/officeDocument/2006/relationships/image" Target="media/image29.wmf"/><Relationship Id="rId7" Type="http://schemas.openxmlformats.org/officeDocument/2006/relationships/chart" Target="charts/chart2.xml"/><Relationship Id="rId69" Type="http://schemas.openxmlformats.org/officeDocument/2006/relationships/oleObject" Target="embeddings/oleObject36.bin"/><Relationship Id="rId68" Type="http://schemas.openxmlformats.org/officeDocument/2006/relationships/image" Target="media/image28.wmf"/><Relationship Id="rId67" Type="http://schemas.openxmlformats.org/officeDocument/2006/relationships/oleObject" Target="embeddings/oleObject35.bin"/><Relationship Id="rId66" Type="http://schemas.openxmlformats.org/officeDocument/2006/relationships/oleObject" Target="embeddings/oleObject34.bin"/><Relationship Id="rId65" Type="http://schemas.openxmlformats.org/officeDocument/2006/relationships/oleObject" Target="embeddings/oleObject33.bin"/><Relationship Id="rId64" Type="http://schemas.openxmlformats.org/officeDocument/2006/relationships/image" Target="media/image27.wmf"/><Relationship Id="rId63" Type="http://schemas.openxmlformats.org/officeDocument/2006/relationships/oleObject" Target="embeddings/oleObject32.bin"/><Relationship Id="rId62" Type="http://schemas.openxmlformats.org/officeDocument/2006/relationships/image" Target="media/image26.wmf"/><Relationship Id="rId61" Type="http://schemas.openxmlformats.org/officeDocument/2006/relationships/oleObject" Target="embeddings/oleObject31.bin"/><Relationship Id="rId60" Type="http://schemas.openxmlformats.org/officeDocument/2006/relationships/oleObject" Target="embeddings/oleObject30.bin"/><Relationship Id="rId6" Type="http://schemas.openxmlformats.org/officeDocument/2006/relationships/chart" Target="charts/chart1.xml"/><Relationship Id="rId59" Type="http://schemas.openxmlformats.org/officeDocument/2006/relationships/image" Target="media/image25.wmf"/><Relationship Id="rId58" Type="http://schemas.openxmlformats.org/officeDocument/2006/relationships/oleObject" Target="embeddings/oleObject29.bin"/><Relationship Id="rId57" Type="http://schemas.openxmlformats.org/officeDocument/2006/relationships/image" Target="media/image24.wmf"/><Relationship Id="rId56" Type="http://schemas.openxmlformats.org/officeDocument/2006/relationships/oleObject" Target="embeddings/oleObject28.bin"/><Relationship Id="rId55" Type="http://schemas.openxmlformats.org/officeDocument/2006/relationships/image" Target="media/image23.wmf"/><Relationship Id="rId54" Type="http://schemas.openxmlformats.org/officeDocument/2006/relationships/oleObject" Target="embeddings/oleObject27.bin"/><Relationship Id="rId53" Type="http://schemas.openxmlformats.org/officeDocument/2006/relationships/image" Target="media/image22.wmf"/><Relationship Id="rId52" Type="http://schemas.openxmlformats.org/officeDocument/2006/relationships/oleObject" Target="embeddings/oleObject26.bin"/><Relationship Id="rId51" Type="http://schemas.openxmlformats.org/officeDocument/2006/relationships/image" Target="media/image21.wmf"/><Relationship Id="rId50" Type="http://schemas.openxmlformats.org/officeDocument/2006/relationships/oleObject" Target="embeddings/oleObject25.bin"/><Relationship Id="rId5" Type="http://schemas.openxmlformats.org/officeDocument/2006/relationships/image" Target="media/image2.png"/><Relationship Id="rId49" Type="http://schemas.openxmlformats.org/officeDocument/2006/relationships/image" Target="media/image20.wmf"/><Relationship Id="rId48" Type="http://schemas.openxmlformats.org/officeDocument/2006/relationships/oleObject" Target="embeddings/oleObject24.bin"/><Relationship Id="rId47" Type="http://schemas.openxmlformats.org/officeDocument/2006/relationships/image" Target="media/image19.wmf"/><Relationship Id="rId46" Type="http://schemas.openxmlformats.org/officeDocument/2006/relationships/oleObject" Target="embeddings/oleObject23.bin"/><Relationship Id="rId45" Type="http://schemas.openxmlformats.org/officeDocument/2006/relationships/oleObject" Target="embeddings/oleObject22.bin"/><Relationship Id="rId44" Type="http://schemas.openxmlformats.org/officeDocument/2006/relationships/oleObject" Target="embeddings/oleObject21.bin"/><Relationship Id="rId43" Type="http://schemas.openxmlformats.org/officeDocument/2006/relationships/oleObject" Target="embeddings/oleObject20.bin"/><Relationship Id="rId42" Type="http://schemas.openxmlformats.org/officeDocument/2006/relationships/oleObject" Target="embeddings/oleObject19.bin"/><Relationship Id="rId41" Type="http://schemas.openxmlformats.org/officeDocument/2006/relationships/oleObject" Target="embeddings/oleObject18.bin"/><Relationship Id="rId40" Type="http://schemas.openxmlformats.org/officeDocument/2006/relationships/oleObject" Target="embeddings/oleObject17.bin"/><Relationship Id="rId4" Type="http://schemas.openxmlformats.org/officeDocument/2006/relationships/image" Target="media/image1.png"/><Relationship Id="rId39" Type="http://schemas.openxmlformats.org/officeDocument/2006/relationships/image" Target="media/image18.wmf"/><Relationship Id="rId38" Type="http://schemas.openxmlformats.org/officeDocument/2006/relationships/oleObject" Target="embeddings/oleObject16.bin"/><Relationship Id="rId37" Type="http://schemas.openxmlformats.org/officeDocument/2006/relationships/image" Target="media/image17.wmf"/><Relationship Id="rId36" Type="http://schemas.openxmlformats.org/officeDocument/2006/relationships/oleObject" Target="embeddings/oleObject15.bin"/><Relationship Id="rId35" Type="http://schemas.openxmlformats.org/officeDocument/2006/relationships/image" Target="media/image16.wmf"/><Relationship Id="rId34" Type="http://schemas.openxmlformats.org/officeDocument/2006/relationships/oleObject" Target="embeddings/oleObject14.bin"/><Relationship Id="rId33" Type="http://schemas.openxmlformats.org/officeDocument/2006/relationships/image" Target="media/image15.wmf"/><Relationship Id="rId32" Type="http://schemas.openxmlformats.org/officeDocument/2006/relationships/oleObject" Target="embeddings/oleObject13.bin"/><Relationship Id="rId31" Type="http://schemas.openxmlformats.org/officeDocument/2006/relationships/image" Target="media/image14.wmf"/><Relationship Id="rId30" Type="http://schemas.openxmlformats.org/officeDocument/2006/relationships/oleObject" Target="embeddings/oleObject12.bin"/><Relationship Id="rId3" Type="http://schemas.openxmlformats.org/officeDocument/2006/relationships/theme" Target="theme/theme1.xml"/><Relationship Id="rId29" Type="http://schemas.openxmlformats.org/officeDocument/2006/relationships/image" Target="media/image13.wmf"/><Relationship Id="rId28" Type="http://schemas.openxmlformats.org/officeDocument/2006/relationships/oleObject" Target="embeddings/oleObject11.bin"/><Relationship Id="rId27" Type="http://schemas.openxmlformats.org/officeDocument/2006/relationships/image" Target="media/image12.wmf"/><Relationship Id="rId26" Type="http://schemas.openxmlformats.org/officeDocument/2006/relationships/oleObject" Target="embeddings/oleObject10.bin"/><Relationship Id="rId25" Type="http://schemas.openxmlformats.org/officeDocument/2006/relationships/image" Target="media/image11.wmf"/><Relationship Id="rId24" Type="http://schemas.openxmlformats.org/officeDocument/2006/relationships/oleObject" Target="embeddings/oleObject9.bin"/><Relationship Id="rId23" Type="http://schemas.openxmlformats.org/officeDocument/2006/relationships/image" Target="media/image10.wmf"/><Relationship Id="rId22" Type="http://schemas.openxmlformats.org/officeDocument/2006/relationships/oleObject" Target="embeddings/oleObject8.bin"/><Relationship Id="rId21" Type="http://schemas.openxmlformats.org/officeDocument/2006/relationships/image" Target="media/image9.w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6.bin"/><Relationship Id="rId17" Type="http://schemas.openxmlformats.org/officeDocument/2006/relationships/image" Target="media/image7.wmf"/><Relationship Id="rId16" Type="http://schemas.openxmlformats.org/officeDocument/2006/relationships/oleObject" Target="embeddings/oleObject5.bin"/><Relationship Id="rId15" Type="http://schemas.openxmlformats.org/officeDocument/2006/relationships/image" Target="media/image6.wmf"/><Relationship Id="rId143" Type="http://schemas.openxmlformats.org/officeDocument/2006/relationships/fontTable" Target="fontTable.xml"/><Relationship Id="rId142" Type="http://schemas.openxmlformats.org/officeDocument/2006/relationships/numbering" Target="numbering.xml"/><Relationship Id="rId141" Type="http://schemas.openxmlformats.org/officeDocument/2006/relationships/customXml" Target="../customXml/item1.xml"/><Relationship Id="rId140" Type="http://schemas.openxmlformats.org/officeDocument/2006/relationships/image" Target="media/image63.png"/><Relationship Id="rId14" Type="http://schemas.openxmlformats.org/officeDocument/2006/relationships/oleObject" Target="embeddings/oleObject4.bin"/><Relationship Id="rId139" Type="http://schemas.openxmlformats.org/officeDocument/2006/relationships/image" Target="media/image62.jpeg"/><Relationship Id="rId138" Type="http://schemas.openxmlformats.org/officeDocument/2006/relationships/image" Target="media/image61.jpeg"/><Relationship Id="rId137" Type="http://schemas.openxmlformats.org/officeDocument/2006/relationships/image" Target="media/image60.wmf"/><Relationship Id="rId136" Type="http://schemas.openxmlformats.org/officeDocument/2006/relationships/oleObject" Target="embeddings/oleObject72.bin"/><Relationship Id="rId135" Type="http://schemas.openxmlformats.org/officeDocument/2006/relationships/image" Target="media/image59.wmf"/><Relationship Id="rId134" Type="http://schemas.openxmlformats.org/officeDocument/2006/relationships/oleObject" Target="embeddings/oleObject71.bin"/><Relationship Id="rId133" Type="http://schemas.openxmlformats.org/officeDocument/2006/relationships/image" Target="media/image58.wmf"/><Relationship Id="rId132" Type="http://schemas.openxmlformats.org/officeDocument/2006/relationships/oleObject" Target="embeddings/oleObject70.bin"/><Relationship Id="rId131" Type="http://schemas.openxmlformats.org/officeDocument/2006/relationships/image" Target="media/image57.wmf"/><Relationship Id="rId130" Type="http://schemas.openxmlformats.org/officeDocument/2006/relationships/oleObject" Target="embeddings/oleObject69.bin"/><Relationship Id="rId13" Type="http://schemas.openxmlformats.org/officeDocument/2006/relationships/image" Target="media/image5.wmf"/><Relationship Id="rId129" Type="http://schemas.openxmlformats.org/officeDocument/2006/relationships/image" Target="media/image56.wmf"/><Relationship Id="rId128" Type="http://schemas.openxmlformats.org/officeDocument/2006/relationships/oleObject" Target="embeddings/oleObject68.bin"/><Relationship Id="rId127" Type="http://schemas.openxmlformats.org/officeDocument/2006/relationships/image" Target="media/image55.wmf"/><Relationship Id="rId126" Type="http://schemas.openxmlformats.org/officeDocument/2006/relationships/oleObject" Target="embeddings/oleObject67.bin"/><Relationship Id="rId125" Type="http://schemas.openxmlformats.org/officeDocument/2006/relationships/image" Target="media/image54.wmf"/><Relationship Id="rId124" Type="http://schemas.openxmlformats.org/officeDocument/2006/relationships/oleObject" Target="embeddings/oleObject66.bin"/><Relationship Id="rId123" Type="http://schemas.openxmlformats.org/officeDocument/2006/relationships/image" Target="media/image53.wmf"/><Relationship Id="rId122" Type="http://schemas.openxmlformats.org/officeDocument/2006/relationships/oleObject" Target="embeddings/oleObject65.bin"/><Relationship Id="rId121" Type="http://schemas.openxmlformats.org/officeDocument/2006/relationships/image" Target="media/image52.wmf"/><Relationship Id="rId120" Type="http://schemas.openxmlformats.org/officeDocument/2006/relationships/oleObject" Target="embeddings/oleObject64.bin"/><Relationship Id="rId12" Type="http://schemas.openxmlformats.org/officeDocument/2006/relationships/oleObject" Target="embeddings/oleObject3.bin"/><Relationship Id="rId119" Type="http://schemas.openxmlformats.org/officeDocument/2006/relationships/image" Target="media/image51.wmf"/><Relationship Id="rId118" Type="http://schemas.openxmlformats.org/officeDocument/2006/relationships/oleObject" Target="embeddings/oleObject63.bin"/><Relationship Id="rId117" Type="http://schemas.openxmlformats.org/officeDocument/2006/relationships/image" Target="media/image50.wmf"/><Relationship Id="rId116" Type="http://schemas.openxmlformats.org/officeDocument/2006/relationships/oleObject" Target="embeddings/oleObject62.bin"/><Relationship Id="rId115" Type="http://schemas.openxmlformats.org/officeDocument/2006/relationships/image" Target="media/image49.wmf"/><Relationship Id="rId114" Type="http://schemas.openxmlformats.org/officeDocument/2006/relationships/oleObject" Target="embeddings/oleObject61.bin"/><Relationship Id="rId113" Type="http://schemas.openxmlformats.org/officeDocument/2006/relationships/image" Target="media/image48.wmf"/><Relationship Id="rId112" Type="http://schemas.openxmlformats.org/officeDocument/2006/relationships/oleObject" Target="embeddings/oleObject60.bin"/><Relationship Id="rId111" Type="http://schemas.openxmlformats.org/officeDocument/2006/relationships/image" Target="media/image47.wmf"/><Relationship Id="rId110" Type="http://schemas.openxmlformats.org/officeDocument/2006/relationships/oleObject" Target="embeddings/oleObject59.bin"/><Relationship Id="rId11" Type="http://schemas.openxmlformats.org/officeDocument/2006/relationships/image" Target="media/image4.wmf"/><Relationship Id="rId109" Type="http://schemas.openxmlformats.org/officeDocument/2006/relationships/image" Target="media/image46.wmf"/><Relationship Id="rId108" Type="http://schemas.openxmlformats.org/officeDocument/2006/relationships/oleObject" Target="embeddings/oleObject58.bin"/><Relationship Id="rId107" Type="http://schemas.openxmlformats.org/officeDocument/2006/relationships/image" Target="media/image45.wmf"/><Relationship Id="rId106" Type="http://schemas.openxmlformats.org/officeDocument/2006/relationships/oleObject" Target="embeddings/oleObject57.bin"/><Relationship Id="rId105" Type="http://schemas.openxmlformats.org/officeDocument/2006/relationships/image" Target="media/image44.wmf"/><Relationship Id="rId104" Type="http://schemas.openxmlformats.org/officeDocument/2006/relationships/oleObject" Target="embeddings/oleObject56.bin"/><Relationship Id="rId103" Type="http://schemas.openxmlformats.org/officeDocument/2006/relationships/image" Target="media/image43.wmf"/><Relationship Id="rId102" Type="http://schemas.openxmlformats.org/officeDocument/2006/relationships/oleObject" Target="embeddings/oleObject55.bin"/><Relationship Id="rId101" Type="http://schemas.openxmlformats.org/officeDocument/2006/relationships/image" Target="media/image42.wmf"/><Relationship Id="rId100" Type="http://schemas.openxmlformats.org/officeDocument/2006/relationships/oleObject" Target="embeddings/oleObject54.bin"/><Relationship Id="rId10" Type="http://schemas.openxmlformats.org/officeDocument/2006/relationships/oleObject" Target="embeddings/oleObject2.bin"/><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Laboratory\&#31361;&#27849;\&#23458;&#36135;&#36816;&#37327;&#39044;&#27979;\&#31361;&#27849;&#25968;&#25454;&#65288;&#23458;&#36135;&#37327;&#39044;&#27979;&#65289;.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D:\Laboratory\&#31361;&#27849;\&#23458;&#36135;&#36816;&#37327;&#39044;&#27979;\&#31361;&#27849;&#25968;&#25454;&#65288;&#23458;&#36135;&#37327;&#39044;&#27979;&#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客运修改!$B$1</c:f>
              <c:strCache>
                <c:ptCount val="1"/>
                <c:pt idx="0">
                  <c:v>客运量</c:v>
                </c:pt>
              </c:strCache>
            </c:strRef>
          </c:tx>
          <c:spPr>
            <a:ln w="38100" cap="rnd">
              <a:solidFill>
                <a:schemeClr val="accent1"/>
              </a:solidFill>
              <a:round/>
            </a:ln>
            <a:effectLst/>
          </c:spPr>
          <c:marker>
            <c:symbol val="none"/>
          </c:marker>
          <c:dLbls>
            <c:delete val="1"/>
          </c:dLbls>
          <c:cat>
            <c:numRef>
              <c:f>客运修改!$A$2:$A$6</c:f>
              <c:numCache>
                <c:formatCode>General</c:formatCode>
                <c:ptCount val="5"/>
                <c:pt idx="0">
                  <c:v>2013</c:v>
                </c:pt>
                <c:pt idx="1">
                  <c:v>2014</c:v>
                </c:pt>
                <c:pt idx="2">
                  <c:v>2015</c:v>
                </c:pt>
                <c:pt idx="3">
                  <c:v>2016</c:v>
                </c:pt>
                <c:pt idx="4">
                  <c:v>2017</c:v>
                </c:pt>
              </c:numCache>
            </c:numRef>
          </c:cat>
          <c:val>
            <c:numRef>
              <c:f>客运修改!$B$2:$B$6</c:f>
              <c:numCache>
                <c:formatCode>General</c:formatCode>
                <c:ptCount val="5"/>
                <c:pt idx="0">
                  <c:v>89</c:v>
                </c:pt>
                <c:pt idx="1">
                  <c:v>105</c:v>
                </c:pt>
                <c:pt idx="2">
                  <c:v>123</c:v>
                </c:pt>
                <c:pt idx="3">
                  <c:v>163</c:v>
                </c:pt>
                <c:pt idx="4">
                  <c:v>208</c:v>
                </c:pt>
              </c:numCache>
            </c:numRef>
          </c:val>
          <c:smooth val="0"/>
        </c:ser>
        <c:dLbls>
          <c:showLegendKey val="0"/>
          <c:showVal val="0"/>
          <c:showCatName val="0"/>
          <c:showSerName val="0"/>
          <c:showPercent val="0"/>
          <c:showBubbleSize val="0"/>
        </c:dLbls>
        <c:marker val="0"/>
        <c:smooth val="0"/>
        <c:axId val="540800544"/>
        <c:axId val="540793328"/>
      </c:lineChart>
      <c:lineChart>
        <c:grouping val="standard"/>
        <c:varyColors val="0"/>
        <c:ser>
          <c:idx val="1"/>
          <c:order val="1"/>
          <c:tx>
            <c:strRef>
              <c:f>客运修改!$C$1</c:f>
              <c:strCache>
                <c:ptCount val="1"/>
                <c:pt idx="0">
                  <c:v>GDP</c:v>
                </c:pt>
              </c:strCache>
            </c:strRef>
          </c:tx>
          <c:spPr>
            <a:ln w="38100" cap="rnd">
              <a:solidFill>
                <a:schemeClr val="accent2"/>
              </a:solidFill>
              <a:round/>
            </a:ln>
            <a:effectLst/>
          </c:spPr>
          <c:marker>
            <c:symbol val="none"/>
          </c:marker>
          <c:dLbls>
            <c:delete val="1"/>
          </c:dLbls>
          <c:cat>
            <c:numRef>
              <c:f>客运修改!$A$2:$A$6</c:f>
              <c:numCache>
                <c:formatCode>General</c:formatCode>
                <c:ptCount val="5"/>
                <c:pt idx="0">
                  <c:v>2013</c:v>
                </c:pt>
                <c:pt idx="1">
                  <c:v>2014</c:v>
                </c:pt>
                <c:pt idx="2">
                  <c:v>2015</c:v>
                </c:pt>
                <c:pt idx="3">
                  <c:v>2016</c:v>
                </c:pt>
                <c:pt idx="4">
                  <c:v>2017</c:v>
                </c:pt>
              </c:numCache>
            </c:numRef>
          </c:cat>
          <c:val>
            <c:numRef>
              <c:f>客运修改!$C$2:$C$6</c:f>
              <c:numCache>
                <c:formatCode>General</c:formatCode>
                <c:ptCount val="5"/>
                <c:pt idx="0">
                  <c:v>60.6</c:v>
                </c:pt>
                <c:pt idx="1">
                  <c:v>66.4</c:v>
                </c:pt>
                <c:pt idx="2">
                  <c:v>73.4</c:v>
                </c:pt>
                <c:pt idx="3">
                  <c:v>76.4</c:v>
                </c:pt>
                <c:pt idx="4">
                  <c:v>78.6</c:v>
                </c:pt>
              </c:numCache>
            </c:numRef>
          </c:val>
          <c:smooth val="0"/>
        </c:ser>
        <c:dLbls>
          <c:showLegendKey val="0"/>
          <c:showVal val="0"/>
          <c:showCatName val="0"/>
          <c:showSerName val="0"/>
          <c:showPercent val="0"/>
          <c:showBubbleSize val="0"/>
        </c:dLbls>
        <c:marker val="0"/>
        <c:smooth val="0"/>
        <c:axId val="612953720"/>
        <c:axId val="612950440"/>
      </c:lineChart>
      <c:catAx>
        <c:axId val="5408005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cap="none" spc="0" normalizeH="0" baseline="0">
                <a:solidFill>
                  <a:schemeClr val="tx1">
                    <a:lumMod val="65000"/>
                    <a:lumOff val="35000"/>
                  </a:schemeClr>
                </a:solidFill>
                <a:latin typeface="+mn-lt"/>
                <a:ea typeface="+mn-ea"/>
                <a:cs typeface="+mn-cs"/>
              </a:defRPr>
            </a:pPr>
          </a:p>
        </c:txPr>
        <c:crossAx val="540793328"/>
        <c:crosses val="autoZero"/>
        <c:auto val="1"/>
        <c:lblAlgn val="ctr"/>
        <c:lblOffset val="100"/>
        <c:noMultiLvlLbl val="0"/>
      </c:catAx>
      <c:valAx>
        <c:axId val="54079332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0800544"/>
        <c:crosses val="autoZero"/>
        <c:crossBetween val="between"/>
      </c:valAx>
      <c:catAx>
        <c:axId val="612953720"/>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cap="none" spc="0" normalizeH="0" baseline="0">
                <a:solidFill>
                  <a:schemeClr val="tx1">
                    <a:lumMod val="65000"/>
                    <a:lumOff val="35000"/>
                  </a:schemeClr>
                </a:solidFill>
                <a:latin typeface="+mn-lt"/>
                <a:ea typeface="+mn-ea"/>
                <a:cs typeface="+mn-cs"/>
              </a:defRPr>
            </a:pPr>
          </a:p>
        </c:txPr>
        <c:crossAx val="612950440"/>
        <c:crosses val="autoZero"/>
        <c:auto val="1"/>
        <c:lblAlgn val="ctr"/>
        <c:lblOffset val="100"/>
        <c:noMultiLvlLbl val="0"/>
      </c:catAx>
      <c:valAx>
        <c:axId val="612950440"/>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12953720"/>
        <c:crosses val="max"/>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货运修改!$B$1</c:f>
              <c:strCache>
                <c:ptCount val="1"/>
                <c:pt idx="0">
                  <c:v>货运总量(万吨）</c:v>
                </c:pt>
              </c:strCache>
            </c:strRef>
          </c:tx>
          <c:spPr>
            <a:ln w="38100" cap="rnd">
              <a:solidFill>
                <a:schemeClr val="accent1"/>
              </a:solidFill>
              <a:round/>
            </a:ln>
            <a:effectLst/>
          </c:spPr>
          <c:marker>
            <c:symbol val="none"/>
          </c:marker>
          <c:dLbls>
            <c:delete val="1"/>
          </c:dLbls>
          <c:cat>
            <c:numRef>
              <c:f>货运修改!$A$2:$A$6</c:f>
              <c:numCache>
                <c:formatCode>General</c:formatCode>
                <c:ptCount val="5"/>
                <c:pt idx="0">
                  <c:v>2013</c:v>
                </c:pt>
                <c:pt idx="1">
                  <c:v>2014</c:v>
                </c:pt>
                <c:pt idx="2">
                  <c:v>2015</c:v>
                </c:pt>
                <c:pt idx="3">
                  <c:v>2016</c:v>
                </c:pt>
                <c:pt idx="4">
                  <c:v>2017</c:v>
                </c:pt>
              </c:numCache>
            </c:numRef>
          </c:cat>
          <c:val>
            <c:numRef>
              <c:f>货运修改!$B$2:$B$6</c:f>
              <c:numCache>
                <c:formatCode>General</c:formatCode>
                <c:ptCount val="5"/>
                <c:pt idx="0">
                  <c:v>105</c:v>
                </c:pt>
                <c:pt idx="1">
                  <c:v>163</c:v>
                </c:pt>
                <c:pt idx="2">
                  <c:v>184</c:v>
                </c:pt>
                <c:pt idx="3">
                  <c:v>205</c:v>
                </c:pt>
                <c:pt idx="4">
                  <c:v>261</c:v>
                </c:pt>
              </c:numCache>
            </c:numRef>
          </c:val>
          <c:smooth val="0"/>
        </c:ser>
        <c:dLbls>
          <c:showLegendKey val="0"/>
          <c:showVal val="0"/>
          <c:showCatName val="0"/>
          <c:showSerName val="0"/>
          <c:showPercent val="0"/>
          <c:showBubbleSize val="0"/>
        </c:dLbls>
        <c:marker val="0"/>
        <c:smooth val="0"/>
        <c:axId val="530506672"/>
        <c:axId val="530507656"/>
      </c:lineChart>
      <c:lineChart>
        <c:grouping val="standard"/>
        <c:varyColors val="0"/>
        <c:ser>
          <c:idx val="1"/>
          <c:order val="1"/>
          <c:tx>
            <c:strRef>
              <c:f>货运修改!$C$1</c:f>
              <c:strCache>
                <c:ptCount val="1"/>
                <c:pt idx="0">
                  <c:v>GDP(亿元)</c:v>
                </c:pt>
              </c:strCache>
            </c:strRef>
          </c:tx>
          <c:spPr>
            <a:ln w="38100" cap="rnd">
              <a:solidFill>
                <a:schemeClr val="accent2"/>
              </a:solidFill>
              <a:round/>
            </a:ln>
            <a:effectLst/>
          </c:spPr>
          <c:marker>
            <c:symbol val="none"/>
          </c:marker>
          <c:dLbls>
            <c:delete val="1"/>
          </c:dLbls>
          <c:cat>
            <c:numRef>
              <c:f>货运修改!$A$2:$A$6</c:f>
              <c:numCache>
                <c:formatCode>General</c:formatCode>
                <c:ptCount val="5"/>
                <c:pt idx="0">
                  <c:v>2013</c:v>
                </c:pt>
                <c:pt idx="1">
                  <c:v>2014</c:v>
                </c:pt>
                <c:pt idx="2">
                  <c:v>2015</c:v>
                </c:pt>
                <c:pt idx="3">
                  <c:v>2016</c:v>
                </c:pt>
                <c:pt idx="4">
                  <c:v>2017</c:v>
                </c:pt>
              </c:numCache>
            </c:numRef>
          </c:cat>
          <c:val>
            <c:numRef>
              <c:f>货运修改!$C$2:$C$6</c:f>
              <c:numCache>
                <c:formatCode>General</c:formatCode>
                <c:ptCount val="5"/>
                <c:pt idx="0">
                  <c:v>60.6</c:v>
                </c:pt>
                <c:pt idx="1">
                  <c:v>66.4</c:v>
                </c:pt>
                <c:pt idx="2">
                  <c:v>73.4</c:v>
                </c:pt>
                <c:pt idx="3">
                  <c:v>76.4</c:v>
                </c:pt>
                <c:pt idx="4">
                  <c:v>78.6</c:v>
                </c:pt>
              </c:numCache>
            </c:numRef>
          </c:val>
          <c:smooth val="0"/>
        </c:ser>
        <c:dLbls>
          <c:showLegendKey val="0"/>
          <c:showVal val="0"/>
          <c:showCatName val="0"/>
          <c:showSerName val="0"/>
          <c:showPercent val="0"/>
          <c:showBubbleSize val="0"/>
        </c:dLbls>
        <c:marker val="0"/>
        <c:smooth val="0"/>
        <c:axId val="540796280"/>
        <c:axId val="540801200"/>
      </c:lineChart>
      <c:catAx>
        <c:axId val="5305066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cap="none" spc="0" normalizeH="0" baseline="0">
                <a:solidFill>
                  <a:schemeClr val="tx1">
                    <a:lumMod val="65000"/>
                    <a:lumOff val="35000"/>
                  </a:schemeClr>
                </a:solidFill>
                <a:latin typeface="+mn-lt"/>
                <a:ea typeface="+mn-ea"/>
                <a:cs typeface="+mn-cs"/>
              </a:defRPr>
            </a:pPr>
          </a:p>
        </c:txPr>
        <c:crossAx val="530507656"/>
        <c:crosses val="autoZero"/>
        <c:auto val="1"/>
        <c:lblAlgn val="ctr"/>
        <c:lblOffset val="100"/>
        <c:noMultiLvlLbl val="0"/>
      </c:catAx>
      <c:valAx>
        <c:axId val="53050765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30506672"/>
        <c:crosses val="autoZero"/>
        <c:crossBetween val="between"/>
      </c:valAx>
      <c:catAx>
        <c:axId val="540796280"/>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cap="none" spc="0" normalizeH="0" baseline="0">
                <a:solidFill>
                  <a:schemeClr val="tx1">
                    <a:lumMod val="65000"/>
                    <a:lumOff val="35000"/>
                  </a:schemeClr>
                </a:solidFill>
                <a:latin typeface="+mn-lt"/>
                <a:ea typeface="+mn-ea"/>
                <a:cs typeface="+mn-cs"/>
              </a:defRPr>
            </a:pPr>
          </a:p>
        </c:txPr>
        <c:crossAx val="540801200"/>
        <c:crosses val="autoZero"/>
        <c:auto val="1"/>
        <c:lblAlgn val="ctr"/>
        <c:lblOffset val="100"/>
        <c:noMultiLvlLbl val="0"/>
      </c:catAx>
      <c:valAx>
        <c:axId val="540801200"/>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0796280"/>
        <c:crosses val="max"/>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42120</Words>
  <Characters>44370</Characters>
  <Lines>339</Lines>
  <Paragraphs>95</Paragraphs>
  <TotalTime>30</TotalTime>
  <ScaleCrop>false</ScaleCrop>
  <LinksUpToDate>false</LinksUpToDate>
  <CharactersWithSpaces>44490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2020-04-02T07:44:00Z</dcterms:created>
  <dc:creator>赵良</dc:creator>
  <cp:lastModifiedBy>Amoureux</cp:lastModifiedBy>
  <dcterms:modified xsi:type="dcterms:W3CDTF">2024-10-10T07:44:36Z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D7067C375B5C4463910BA37E8D9AF16E_12</vt:lpwstr>
  </property>
</Properties>
</file>