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B58E2">
      <w:pPr>
        <w:spacing w:line="560" w:lineRule="exact"/>
        <w:rPr>
          <w:rFonts w:hint="eastAsia" w:eastAsia="黑体"/>
          <w:sz w:val="32"/>
          <w:szCs w:val="32"/>
          <w:highlight w:val="none"/>
          <w:lang w:val="en-US" w:eastAsia="zh-CN"/>
        </w:rPr>
      </w:pPr>
      <w:r>
        <w:rPr>
          <w:rFonts w:eastAsia="黑体"/>
          <w:sz w:val="32"/>
          <w:szCs w:val="32"/>
          <w:highlight w:val="none"/>
        </w:rPr>
        <w:t>附</w:t>
      </w:r>
      <w:r>
        <w:rPr>
          <w:rFonts w:hint="eastAsia" w:eastAsia="黑体"/>
          <w:sz w:val="32"/>
          <w:szCs w:val="32"/>
          <w:highlight w:val="none"/>
        </w:rPr>
        <w:t>件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7</w:t>
      </w:r>
    </w:p>
    <w:p w14:paraId="225DB15E">
      <w:pPr>
        <w:spacing w:line="560" w:lineRule="exact"/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农业生产社会化服务统计表</w:t>
      </w:r>
    </w:p>
    <w:p w14:paraId="7F6A1FC3">
      <w:pPr>
        <w:autoSpaceDE w:val="0"/>
        <w:autoSpaceDN w:val="0"/>
        <w:spacing w:line="560" w:lineRule="exact"/>
        <w:rPr>
          <w:rFonts w:hint="eastAsia" w:ascii="楷体_GB2312" w:eastAsia="楷体_GB2312"/>
          <w:sz w:val="24"/>
          <w:szCs w:val="24"/>
          <w:highlight w:val="none"/>
          <w:lang w:eastAsia="zh-CN"/>
        </w:rPr>
      </w:pPr>
      <w:r>
        <w:rPr>
          <w:rFonts w:hint="eastAsia" w:ascii="楷体_GB2312" w:eastAsia="楷体_GB2312"/>
          <w:sz w:val="24"/>
          <w:szCs w:val="24"/>
          <w:highlight w:val="none"/>
          <w:lang w:eastAsia="zh-CN"/>
        </w:rPr>
        <w:t>乡镇：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54"/>
        <w:gridCol w:w="855"/>
        <w:gridCol w:w="851"/>
        <w:gridCol w:w="850"/>
        <w:gridCol w:w="851"/>
        <w:gridCol w:w="1701"/>
        <w:gridCol w:w="3544"/>
        <w:gridCol w:w="2693"/>
      </w:tblGrid>
      <w:tr w14:paraId="700BD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1" w:type="dxa"/>
            <w:vMerge w:val="restart"/>
            <w:vAlign w:val="center"/>
          </w:tcPr>
          <w:p w14:paraId="25517A05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任务面积</w:t>
            </w:r>
          </w:p>
        </w:tc>
        <w:tc>
          <w:tcPr>
            <w:tcW w:w="954" w:type="dxa"/>
            <w:vMerge w:val="restart"/>
            <w:vAlign w:val="center"/>
          </w:tcPr>
          <w:p w14:paraId="3B78E690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实施</w:t>
            </w:r>
          </w:p>
          <w:p w14:paraId="41C2E729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面积</w:t>
            </w:r>
          </w:p>
        </w:tc>
        <w:tc>
          <w:tcPr>
            <w:tcW w:w="3407" w:type="dxa"/>
            <w:gridSpan w:val="4"/>
            <w:vAlign w:val="center"/>
          </w:tcPr>
          <w:p w14:paraId="6D2AE576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环节面积</w:t>
            </w:r>
          </w:p>
        </w:tc>
        <w:tc>
          <w:tcPr>
            <w:tcW w:w="1701" w:type="dxa"/>
            <w:vMerge w:val="restart"/>
            <w:vAlign w:val="center"/>
          </w:tcPr>
          <w:p w14:paraId="21B1CA58"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服务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主体</w:t>
            </w:r>
          </w:p>
          <w:p w14:paraId="3CAC49CA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3544" w:type="dxa"/>
            <w:vMerge w:val="restart"/>
            <w:vAlign w:val="center"/>
          </w:tcPr>
          <w:p w14:paraId="3897B096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服务主要农作物</w:t>
            </w:r>
          </w:p>
        </w:tc>
        <w:tc>
          <w:tcPr>
            <w:tcW w:w="2693" w:type="dxa"/>
            <w:vMerge w:val="restart"/>
            <w:vAlign w:val="center"/>
          </w:tcPr>
          <w:p w14:paraId="2E5E3B0B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下一年拟实施面积</w:t>
            </w:r>
          </w:p>
        </w:tc>
      </w:tr>
      <w:tr w14:paraId="4F588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701" w:type="dxa"/>
            <w:vMerge w:val="continue"/>
            <w:vAlign w:val="center"/>
          </w:tcPr>
          <w:p w14:paraId="109AAA2C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54" w:type="dxa"/>
            <w:vMerge w:val="continue"/>
            <w:vAlign w:val="center"/>
          </w:tcPr>
          <w:p w14:paraId="187F2032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55" w:type="dxa"/>
            <w:vAlign w:val="center"/>
          </w:tcPr>
          <w:p w14:paraId="6002D935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耕</w:t>
            </w:r>
          </w:p>
        </w:tc>
        <w:tc>
          <w:tcPr>
            <w:tcW w:w="851" w:type="dxa"/>
            <w:vAlign w:val="center"/>
          </w:tcPr>
          <w:p w14:paraId="6853A530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种</w:t>
            </w:r>
          </w:p>
        </w:tc>
        <w:tc>
          <w:tcPr>
            <w:tcW w:w="850" w:type="dxa"/>
            <w:vAlign w:val="center"/>
          </w:tcPr>
          <w:p w14:paraId="6BF50198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防</w:t>
            </w:r>
          </w:p>
        </w:tc>
        <w:tc>
          <w:tcPr>
            <w:tcW w:w="851" w:type="dxa"/>
            <w:vAlign w:val="center"/>
          </w:tcPr>
          <w:p w14:paraId="314B1849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  <w:t>收</w:t>
            </w:r>
          </w:p>
        </w:tc>
        <w:tc>
          <w:tcPr>
            <w:tcW w:w="1701" w:type="dxa"/>
            <w:vMerge w:val="continue"/>
            <w:vAlign w:val="center"/>
          </w:tcPr>
          <w:p w14:paraId="28EF69EF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544" w:type="dxa"/>
            <w:vMerge w:val="continue"/>
            <w:vAlign w:val="center"/>
          </w:tcPr>
          <w:p w14:paraId="03BFBF42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6E18FAC0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5F81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1FE7DAB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954" w:type="dxa"/>
          </w:tcPr>
          <w:p w14:paraId="6B27C06A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855" w:type="dxa"/>
          </w:tcPr>
          <w:p w14:paraId="6F0DA4A8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851" w:type="dxa"/>
          </w:tcPr>
          <w:p w14:paraId="7972AE80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850" w:type="dxa"/>
          </w:tcPr>
          <w:p w14:paraId="3F9D4CE0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851" w:type="dxa"/>
          </w:tcPr>
          <w:p w14:paraId="109B0844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701" w:type="dxa"/>
          </w:tcPr>
          <w:p w14:paraId="2698D8D8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3544" w:type="dxa"/>
          </w:tcPr>
          <w:p w14:paraId="50C39C87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693" w:type="dxa"/>
          </w:tcPr>
          <w:p w14:paraId="7B58BA83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</w:tr>
      <w:tr w14:paraId="0CCAE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A27AFAF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954" w:type="dxa"/>
          </w:tcPr>
          <w:p w14:paraId="0F8BCEA7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855" w:type="dxa"/>
          </w:tcPr>
          <w:p w14:paraId="01839CBC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851" w:type="dxa"/>
          </w:tcPr>
          <w:p w14:paraId="31209763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850" w:type="dxa"/>
          </w:tcPr>
          <w:p w14:paraId="4A5C888F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851" w:type="dxa"/>
          </w:tcPr>
          <w:p w14:paraId="5AEFA1E3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701" w:type="dxa"/>
          </w:tcPr>
          <w:p w14:paraId="36227202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3544" w:type="dxa"/>
          </w:tcPr>
          <w:p w14:paraId="627C89D2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693" w:type="dxa"/>
          </w:tcPr>
          <w:p w14:paraId="5EC027FC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</w:tr>
      <w:tr w14:paraId="4E7E9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E3C242F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954" w:type="dxa"/>
          </w:tcPr>
          <w:p w14:paraId="4444F4DE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855" w:type="dxa"/>
          </w:tcPr>
          <w:p w14:paraId="2472C1AA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851" w:type="dxa"/>
          </w:tcPr>
          <w:p w14:paraId="617C6881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850" w:type="dxa"/>
          </w:tcPr>
          <w:p w14:paraId="7CC1FD38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851" w:type="dxa"/>
          </w:tcPr>
          <w:p w14:paraId="391C3DD0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701" w:type="dxa"/>
          </w:tcPr>
          <w:p w14:paraId="0B7C20C5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3544" w:type="dxa"/>
          </w:tcPr>
          <w:p w14:paraId="3401CEA1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693" w:type="dxa"/>
          </w:tcPr>
          <w:p w14:paraId="4460BEA5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</w:tr>
      <w:tr w14:paraId="40B0C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96884A1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954" w:type="dxa"/>
          </w:tcPr>
          <w:p w14:paraId="69B4FD63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855" w:type="dxa"/>
          </w:tcPr>
          <w:p w14:paraId="5F69A431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851" w:type="dxa"/>
          </w:tcPr>
          <w:p w14:paraId="72CCD4D9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850" w:type="dxa"/>
          </w:tcPr>
          <w:p w14:paraId="370E7BFF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851" w:type="dxa"/>
          </w:tcPr>
          <w:p w14:paraId="41B7C685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1701" w:type="dxa"/>
          </w:tcPr>
          <w:p w14:paraId="4247B0D6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3544" w:type="dxa"/>
          </w:tcPr>
          <w:p w14:paraId="5357D762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  <w:tc>
          <w:tcPr>
            <w:tcW w:w="2693" w:type="dxa"/>
          </w:tcPr>
          <w:p w14:paraId="6BEEBC0A">
            <w:pPr>
              <w:spacing w:line="560" w:lineRule="exact"/>
              <w:jc w:val="center"/>
              <w:rPr>
                <w:rFonts w:eastAsia="仿宋"/>
                <w:sz w:val="32"/>
                <w:highlight w:val="none"/>
              </w:rPr>
            </w:pPr>
          </w:p>
        </w:tc>
      </w:tr>
    </w:tbl>
    <w:p w14:paraId="598E623B">
      <w:pPr>
        <w:spacing w:line="560" w:lineRule="exact"/>
        <w:ind w:left="720" w:hanging="720" w:hangingChars="300"/>
        <w:rPr>
          <w:rFonts w:eastAsia="仿宋_GB2312"/>
          <w:sz w:val="24"/>
          <w:szCs w:val="24"/>
          <w:highlight w:val="none"/>
        </w:rPr>
      </w:pPr>
      <w:r>
        <w:rPr>
          <w:rFonts w:eastAsia="仿宋_GB2312"/>
          <w:sz w:val="24"/>
          <w:szCs w:val="24"/>
          <w:highlight w:val="none"/>
        </w:rPr>
        <w:t>注：1.服务主要农作物一栏中，填写本年度农业生产社会化服务的作业面积、内容和所占比重，如小麦播种XX亩，占本年度社会化服务总面积的XX%。</w:t>
      </w:r>
    </w:p>
    <w:p w14:paraId="2676D62A">
      <w:pPr>
        <w:numPr>
          <w:ilvl w:val="0"/>
          <w:numId w:val="1"/>
        </w:numPr>
        <w:spacing w:line="560" w:lineRule="exact"/>
        <w:ind w:left="480" w:leftChars="0" w:firstLine="0" w:firstLineChars="0"/>
        <w:rPr>
          <w:rFonts w:hint="eastAsia" w:eastAsia="仿宋_GB2312"/>
          <w:sz w:val="24"/>
          <w:szCs w:val="24"/>
          <w:highlight w:val="none"/>
          <w:lang w:val="en-US" w:eastAsia="zh-CN"/>
        </w:rPr>
      </w:pPr>
      <w:r>
        <w:rPr>
          <w:rFonts w:eastAsia="仿宋_GB2312"/>
          <w:sz w:val="24"/>
          <w:szCs w:val="24"/>
          <w:highlight w:val="none"/>
        </w:rPr>
        <w:t>本表中“耕种防收”环节面积按实际填写，无需折算</w:t>
      </w:r>
      <w:r>
        <w:rPr>
          <w:rFonts w:hint="eastAsia" w:eastAsia="仿宋_GB2312"/>
          <w:sz w:val="24"/>
          <w:szCs w:val="24"/>
          <w:highlight w:val="none"/>
          <w:lang w:eastAsia="zh-CN"/>
        </w:rPr>
        <w:t>；“</w:t>
      </w:r>
      <w:r>
        <w:rPr>
          <w:rFonts w:hint="eastAsia" w:eastAsia="仿宋_GB2312"/>
          <w:sz w:val="24"/>
          <w:szCs w:val="24"/>
          <w:highlight w:val="none"/>
          <w:lang w:val="en-US" w:eastAsia="zh-CN"/>
        </w:rPr>
        <w:t>实施面积</w:t>
      </w:r>
      <w:r>
        <w:rPr>
          <w:rFonts w:hint="eastAsia" w:eastAsia="仿宋_GB2312"/>
          <w:sz w:val="24"/>
          <w:szCs w:val="24"/>
          <w:highlight w:val="none"/>
          <w:lang w:eastAsia="zh-CN"/>
        </w:rPr>
        <w:t>”</w:t>
      </w:r>
      <w:r>
        <w:rPr>
          <w:rFonts w:hint="eastAsia" w:eastAsia="仿宋_GB2312"/>
          <w:sz w:val="24"/>
          <w:szCs w:val="24"/>
          <w:highlight w:val="none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0.35、0.26、0.13和0.26</w:t>
      </w:r>
      <w:r>
        <w:rPr>
          <w:rFonts w:hint="eastAsia" w:eastAsia="仿宋_GB2312"/>
          <w:sz w:val="24"/>
          <w:szCs w:val="24"/>
          <w:highlight w:val="none"/>
          <w:lang w:val="en-US" w:eastAsia="zh-CN"/>
        </w:rPr>
        <w:t>综合托管系数折算。</w:t>
      </w:r>
    </w:p>
    <w:p w14:paraId="54B79BF1">
      <w:pPr>
        <w:numPr>
          <w:ilvl w:val="0"/>
          <w:numId w:val="1"/>
        </w:numPr>
        <w:spacing w:line="560" w:lineRule="exact"/>
        <w:ind w:left="480" w:leftChars="0" w:firstLine="0" w:firstLineChars="0"/>
        <w:rPr>
          <w:rFonts w:eastAsia="仿宋_GB2312"/>
          <w:sz w:val="24"/>
          <w:szCs w:val="24"/>
          <w:highlight w:val="none"/>
        </w:rPr>
      </w:pPr>
      <w:r>
        <w:rPr>
          <w:rFonts w:eastAsia="仿宋_GB2312"/>
          <w:sz w:val="24"/>
          <w:szCs w:val="24"/>
          <w:highlight w:val="none"/>
        </w:rPr>
        <w:t>此表</w:t>
      </w:r>
      <w:r>
        <w:rPr>
          <w:rFonts w:hint="eastAsia" w:eastAsia="仿宋_GB2312"/>
          <w:sz w:val="24"/>
          <w:szCs w:val="24"/>
          <w:highlight w:val="none"/>
          <w:lang w:eastAsia="zh-CN"/>
        </w:rPr>
        <w:t>一式两份</w:t>
      </w:r>
      <w:r>
        <w:rPr>
          <w:rFonts w:eastAsia="仿宋_GB2312"/>
          <w:sz w:val="24"/>
          <w:szCs w:val="24"/>
          <w:highlight w:val="none"/>
        </w:rPr>
        <w:t>，一份由县</w:t>
      </w:r>
      <w:r>
        <w:rPr>
          <w:rFonts w:hint="eastAsia" w:eastAsia="仿宋_GB2312"/>
          <w:sz w:val="24"/>
          <w:szCs w:val="24"/>
          <w:highlight w:val="none"/>
          <w:lang w:eastAsia="zh-CN"/>
        </w:rPr>
        <w:t>农科局</w:t>
      </w:r>
      <w:r>
        <w:rPr>
          <w:rFonts w:eastAsia="仿宋_GB2312"/>
          <w:sz w:val="24"/>
          <w:szCs w:val="24"/>
          <w:highlight w:val="none"/>
        </w:rPr>
        <w:t>存档备案，</w:t>
      </w:r>
      <w:r>
        <w:rPr>
          <w:rFonts w:hint="eastAsia" w:eastAsia="仿宋_GB2312"/>
          <w:sz w:val="24"/>
          <w:szCs w:val="24"/>
          <w:highlight w:val="none"/>
          <w:lang w:eastAsia="zh-CN"/>
        </w:rPr>
        <w:t>一份由乡镇存档备案。</w:t>
      </w:r>
    </w:p>
    <w:p w14:paraId="62760B9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2025-08-12T08:19:58Z</dcterms:created>
  <dc:creator>Administrator</dc:creator>
  <cp:lastModifiedBy>L</cp:lastModifiedBy>
  <dcterms:modified xsi:type="dcterms:W3CDTF">2025-08-12T08:20:09Z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F8141AF9563840DE8930CE85ED00D253_12</vt:lpwstr>
  </property>
</Properties>
</file>