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6046">
      <w:pPr>
        <w:spacing w:line="56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 w14:paraId="773B5BD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突泉县2026年宾馆、旅店</w:t>
      </w:r>
    </w:p>
    <w:p w14:paraId="1EA2E0B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“双随机、一公开”联合抽查工作方案</w:t>
      </w:r>
    </w:p>
    <w:p w14:paraId="13130FB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</w:p>
    <w:p w14:paraId="0ABCC5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全面贯彻落实《国务院办公厅关于严格规范涉企行政检查的意见》(国办发〔2024〕54号)精神，坚持问题导向，针对行政检查事项多、频次高、随意性大，以及任性检查、运动式检查、以各种名义变相检查等突出问题，根据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《关于印发&lt;兴安盟突泉县市场监管领域2026年度（部门联合）“双随机、一公开”抽查工作计划&gt;的通知》（突市监发〔2026〕2号）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要求，为切实开展好2026年突泉县宾馆、旅店联合抽查检查，经与各相关部门研究，并结合工作实际，特制定本工作方案。</w:t>
      </w:r>
    </w:p>
    <w:p w14:paraId="2B705AB8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一、抽查检查对象、比例</w:t>
      </w:r>
    </w:p>
    <w:p w14:paraId="778150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本次抽查检查对象为突泉县辖区内宾馆、旅店，共有宾馆、旅店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57</w:t>
      </w:r>
      <w:r>
        <w:rPr>
          <w:rFonts w:hint="eastAsia" w:eastAsia="仿宋_GB2312" w:cs="宋体"/>
          <w:kern w:val="0"/>
          <w:sz w:val="32"/>
          <w:szCs w:val="32"/>
        </w:rPr>
        <w:t>家，抽取比例为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15%，抽查数量为9家。</w:t>
      </w:r>
    </w:p>
    <w:p w14:paraId="054F4DC8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二、抽查检查事项</w:t>
      </w:r>
    </w:p>
    <w:p w14:paraId="440DB83C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（一）县卫生健康委：</w:t>
      </w:r>
      <w:r>
        <w:rPr>
          <w:rFonts w:hint="eastAsia" w:eastAsia="仿宋_GB2312" w:cs="宋体"/>
          <w:kern w:val="0"/>
          <w:sz w:val="32"/>
          <w:szCs w:val="32"/>
        </w:rPr>
        <w:t>对公共场所卫生的行政检查。</w:t>
      </w:r>
    </w:p>
    <w:p w14:paraId="63368F34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（二）县市场监督管理局：</w:t>
      </w:r>
      <w:r>
        <w:rPr>
          <w:rFonts w:hint="eastAsia" w:eastAsia="仿宋_GB2312" w:cs="宋体"/>
          <w:kern w:val="0"/>
          <w:sz w:val="32"/>
          <w:szCs w:val="32"/>
        </w:rPr>
        <w:t>登记事项检查；公示信息检查。</w:t>
      </w:r>
    </w:p>
    <w:p w14:paraId="62D8DBFE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（三）县公安局：</w:t>
      </w:r>
      <w:r>
        <w:rPr>
          <w:rFonts w:hint="eastAsia" w:eastAsia="仿宋_GB2312" w:cs="宋体"/>
          <w:kern w:val="0"/>
          <w:sz w:val="32"/>
          <w:szCs w:val="32"/>
        </w:rPr>
        <w:t>开业、变更等是否按规定到公安机关备案；是否建立各项安全管理制度和落实安全防范措施；设施、设备是否符合治安、安全防范有关规定及标准；提供住宿服务项目的场所住宿验证登记情况；其他与治安管理有关且应当进行公开检查的情况。</w:t>
      </w:r>
    </w:p>
    <w:p w14:paraId="0513A9A1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三、抽查检查时间</w:t>
      </w:r>
    </w:p>
    <w:p w14:paraId="69301A62">
      <w:pPr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抽取时间：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2026</w:t>
      </w:r>
      <w:r>
        <w:rPr>
          <w:rFonts w:hint="eastAsia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4月-5月</w:t>
      </w:r>
    </w:p>
    <w:p w14:paraId="1CDE38F6">
      <w:pPr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检查时间：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2026年5月-6月</w:t>
      </w:r>
    </w:p>
    <w:p w14:paraId="140741A7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四、工作安排</w:t>
      </w:r>
    </w:p>
    <w:p w14:paraId="055023A0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录入年度计划任务。</w:t>
      </w:r>
      <w:r>
        <w:rPr>
          <w:rFonts w:hint="eastAsia" w:eastAsia="仿宋_GB2312" w:cs="宋体"/>
          <w:kern w:val="0"/>
          <w:sz w:val="32"/>
          <w:szCs w:val="32"/>
        </w:rPr>
        <w:t>本次抽查由县卫生健康委牵头，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制定“双随机、一公开”</w:t>
      </w:r>
      <w:r>
        <w:rPr>
          <w:rFonts w:hint="eastAsia" w:eastAsia="仿宋_GB2312" w:cs="宋体"/>
          <w:kern w:val="0"/>
          <w:sz w:val="32"/>
          <w:szCs w:val="32"/>
        </w:rPr>
        <w:t>部门联合抽查计划、任务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，县卫生健康委</w:t>
      </w:r>
      <w:r>
        <w:rPr>
          <w:rFonts w:hint="eastAsia" w:eastAsia="仿宋_GB2312" w:cs="宋体"/>
          <w:kern w:val="0"/>
          <w:sz w:val="32"/>
          <w:szCs w:val="32"/>
        </w:rPr>
        <w:t>通过“国家企业信用信息公示系统”（部门协同监管平台——内蒙古）录入“双随机、一公开”部门联合抽查计划、任务。</w:t>
      </w:r>
    </w:p>
    <w:p w14:paraId="5B39F5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（二）建立“两库”。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按照“监管对象相同、职责相近”原则，各部门协同一致，建立随机抽查检查对象名录库（子库）、执法人员库（子库）。</w:t>
      </w:r>
    </w:p>
    <w:p w14:paraId="472FB5B5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（三）随机抽取。</w:t>
      </w:r>
      <w:r>
        <w:rPr>
          <w:rFonts w:hint="eastAsia" w:eastAsia="仿宋_GB2312" w:cs="宋体"/>
          <w:kern w:val="0"/>
          <w:sz w:val="32"/>
          <w:szCs w:val="32"/>
        </w:rPr>
        <w:t>按照随机原则，随机抽取被检查对象及执法人员，组成联合检查组，按照各自职责，分工负责开展联合检查。</w:t>
      </w:r>
    </w:p>
    <w:p w14:paraId="44CF2956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（四）检查结果录入和公示。</w:t>
      </w:r>
      <w:r>
        <w:rPr>
          <w:rFonts w:hint="eastAsia" w:eastAsia="仿宋_GB2312" w:cs="宋体"/>
          <w:kern w:val="0"/>
          <w:sz w:val="32"/>
          <w:szCs w:val="32"/>
        </w:rPr>
        <w:t>按照“谁检查、谁录入、谁公开”的原则，各部门执法人员在检查任务完成后的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eastAsia="仿宋_GB2312" w:cs="宋体"/>
          <w:kern w:val="0"/>
          <w:sz w:val="32"/>
          <w:szCs w:val="32"/>
        </w:rPr>
        <w:t>个工作日内，将检查结果通过“国家企业信用信息公示系统”（部门协同监管平台——内蒙古）进行公示。检查人员对检查结果的合法性、准确性和真实性负责。</w:t>
      </w:r>
    </w:p>
    <w:p w14:paraId="2AAA94EB"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五、工作要求</w:t>
      </w:r>
    </w:p>
    <w:p w14:paraId="335D6C7F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（一）高度重视，精心组织。</w:t>
      </w:r>
      <w:r>
        <w:rPr>
          <w:rFonts w:hint="eastAsia" w:eastAsia="仿宋_GB2312" w:cs="宋体"/>
          <w:kern w:val="0"/>
          <w:sz w:val="32"/>
          <w:szCs w:val="32"/>
        </w:rPr>
        <w:t>高度重视本次部门联合抽查检查，切实加强组织领导，强化筹划协调，精心组织实施，确保按时按质完成各项抽查检查任务。</w:t>
      </w:r>
    </w:p>
    <w:p w14:paraId="5A405C72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（二）加强协调配合。</w:t>
      </w:r>
      <w:r>
        <w:rPr>
          <w:rFonts w:hint="eastAsia" w:eastAsia="仿宋_GB2312" w:cs="宋体"/>
          <w:kern w:val="0"/>
          <w:sz w:val="32"/>
          <w:szCs w:val="32"/>
        </w:rPr>
        <w:t>县卫生健康委、县市场监督管理局、县公安局应加强协调配合，认真组织实施，确保抽查检查工作合法规范，科学高效。</w:t>
      </w:r>
    </w:p>
    <w:p w14:paraId="19DDD5DE">
      <w:pPr>
        <w:spacing w:line="560" w:lineRule="exact"/>
        <w:ind w:firstLine="640" w:firstLineChars="20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（三）强化廉洁自律。</w:t>
      </w:r>
      <w:r>
        <w:rPr>
          <w:rFonts w:hint="eastAsia" w:eastAsia="仿宋_GB2312" w:cs="宋体"/>
          <w:kern w:val="0"/>
          <w:sz w:val="32"/>
          <w:szCs w:val="32"/>
        </w:rPr>
        <w:t>检查期间，执法人员要严格遵守法定程序和权限，不得妨碍生产经营单位正常的生产经营活动，树立服务企业发展意识，认真遵守“八项规定”，不得索取、收受被检查主体及相关利益人的财物或者其他利益，不得徇私枉法和营私舞弊，自觉树立执法形象。</w:t>
      </w:r>
    </w:p>
    <w:p w14:paraId="14354AC2"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（四）加强宣传，提升政策知晓率。</w:t>
      </w:r>
      <w:r>
        <w:rPr>
          <w:rFonts w:hint="eastAsia" w:eastAsia="仿宋_GB2312" w:cs="宋体"/>
          <w:kern w:val="0"/>
          <w:sz w:val="32"/>
          <w:szCs w:val="32"/>
        </w:rPr>
        <w:t>各成员单位积极利用公众号、宣传单、宣传栏等宣传途径，加大规范化管理宣传力度，提高认知。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2026-06-08T01:45:35Z</dcterms:created>
  <dc:creator>Administrator</dc:creator>
  <cp:lastModifiedBy>Administrator</cp:lastModifiedBy>
  <dcterms:modified xsi:type="dcterms:W3CDTF">2026-06-08T01:46:01Z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eyJoZGlkIjoiZGJjZDRkMWFjZjg2MDhkYTI1ZWMzMzFiOGI4MGRjYTUifQ==</vt:lpwstr>
  </property>
  <property fmtid="{D5CDD505-2E9C-101B-9397-08002B2CF9AE}" pid="4" name="ICV">
    <vt:lpwstr>D30F5E1CEA644166A7CC917C8BCD7F1D_12</vt:lpwstr>
  </property>
</Properties>
</file>