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239" w:line="223" w:lineRule="auto"/>
        <w:ind w:left="135"/>
        <w:rPr>
          <w:rFonts w:ascii="黑体" w:eastAsia="黑体" w:cs="黑体" w:hAnsi="黑体"/>
          <w:sz w:val="22"/>
          <w:szCs w:val="22"/>
        </w:rPr>
      </w:pPr>
      <w:r>
        <w:rPr>
          <w:rFonts w:ascii="黑体" w:eastAsia="黑体" w:cs="黑体" w:hAnsi="黑体"/>
          <w:spacing w:val="4"/>
          <w:sz w:val="22"/>
          <w:szCs w:val="22"/>
        </w:rPr>
        <w:t>附件1:</w:t>
      </w:r>
    </w:p>
    <w:p>
      <w:pPr>
        <w:spacing w:before="222" w:line="221" w:lineRule="auto"/>
        <w:ind w:left="5780"/>
        <w:rPr>
          <w:rFonts w:ascii="宋体" w:eastAsia="宋体" w:cs="宋体" w:hAnsi="宋体"/>
          <w:sz w:val="39"/>
          <w:szCs w:val="39"/>
        </w:rPr>
      </w:pPr>
      <w:r>
        <w:rPr>
          <w:rFonts w:ascii="宋体" w:eastAsia="宋体" w:cs="宋体" w:hAnsi="宋体"/>
          <w:b/>
          <w:bCs/>
          <w:spacing w:val="-36"/>
          <w:sz w:val="39"/>
          <w:szCs w:val="39"/>
        </w:rPr>
        <w:t>不予处罚事项清单</w:t>
      </w:r>
    </w:p>
    <w:p>
      <w:pPr>
        <w:spacing w:line="262" w:lineRule="auto"/>
        <w:rPr>
          <w:rFonts w:ascii="Arial" w:hAnsi="Arial"/>
          <w:sz w:val="21"/>
        </w:rPr>
      </w:pPr>
    </w:p>
    <w:p>
      <w:pPr>
        <w:spacing w:before="84" w:line="226" w:lineRule="auto"/>
        <w:ind w:left="48"/>
        <w:rPr>
          <w:rFonts w:ascii="宋体" w:eastAsia="宋体" w:cs="宋体" w:hAnsi="宋体"/>
          <w:sz w:val="26"/>
          <w:szCs w:val="26"/>
        </w:rPr>
      </w:pPr>
      <w:r>
        <w:rPr>
          <w:rFonts w:ascii="宋体" w:eastAsia="宋体" w:cs="宋体" w:hAnsi="宋体"/>
          <w:b/>
          <w:bCs/>
          <w:spacing w:val="6"/>
          <w:position w:val="1"/>
          <w:sz w:val="24"/>
          <w:szCs w:val="24"/>
        </w:rPr>
        <w:t>填报单位(公章):</w:t>
      </w:r>
      <w:r>
        <w:rPr>
          <w:rFonts w:ascii="宋体" w:eastAsia="宋体" w:cs="宋体" w:hAnsi="宋体"/>
          <w:spacing w:val="1"/>
          <w:position w:val="1"/>
          <w:sz w:val="24"/>
          <w:szCs w:val="24"/>
        </w:rPr>
        <w:t xml:space="preserve">                                     </w:t>
      </w:r>
      <w:r>
        <w:rPr>
          <w:rFonts w:ascii="宋体" w:eastAsia="宋体" w:cs="宋体" w:hAnsi="宋体"/>
          <w:position w:val="1"/>
          <w:sz w:val="24"/>
          <w:szCs w:val="24"/>
        </w:rPr>
        <w:t xml:space="preserve">       </w:t>
      </w:r>
      <w:r>
        <w:rPr>
          <w:rFonts w:ascii="宋体" w:eastAsia="宋体" w:cs="宋体" w:hAnsi="宋体"/>
          <w:b/>
          <w:bCs/>
          <w:spacing w:val="6"/>
          <w:position w:val="-1"/>
          <w:sz w:val="26"/>
          <w:szCs w:val="26"/>
        </w:rPr>
        <w:t>联系人及电话：</w:t>
      </w:r>
    </w:p>
    <w:p>
      <w:pPr>
        <w:spacing w:line="213" w:lineRule="exact"/>
      </w:pPr>
    </w:p>
    <w:tbl>
      <w:tblPr>
        <w:jc w:val="left"/>
        <w:tblInd w:w="5" w:type="dxa"/>
        <w:tblW w:w="1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964"/>
        <w:gridCol w:w="2329"/>
        <w:gridCol w:w="4077"/>
        <w:gridCol w:w="1869"/>
        <w:gridCol w:w="4117"/>
        <w:gridCol w:w="964"/>
      </w:tblGrid>
      <w:tr>
        <w:trPr>
          <w:trHeight w:val="354"/>
        </w:trPr>
        <w:tc>
          <w:tcPr>
            <w:tcW w:w="964" w:type="dxa"/>
          </w:tcPr>
          <w:p>
            <w:pPr>
              <w:pStyle w:val="15"/>
              <w:spacing w:before="81" w:line="221" w:lineRule="auto"/>
              <w:ind w:left="287"/>
            </w:pPr>
            <w:r>
              <w:rPr>
                <w:b/>
                <w:bCs/>
                <w:spacing w:val="-4"/>
              </w:rPr>
              <w:t>序号</w:t>
            </w:r>
          </w:p>
        </w:tc>
        <w:tc>
          <w:tcPr>
            <w:tcW w:w="2329" w:type="dxa"/>
          </w:tcPr>
          <w:p>
            <w:pPr>
              <w:pStyle w:val="15"/>
              <w:spacing w:before="80" w:line="221" w:lineRule="auto"/>
              <w:ind w:left="583"/>
            </w:pPr>
            <w:r>
              <w:rPr>
                <w:b/>
                <w:bCs/>
                <w:spacing w:val="-4"/>
              </w:rPr>
              <w:t>行政处罚事项</w:t>
            </w:r>
          </w:p>
        </w:tc>
        <w:tc>
          <w:tcPr>
            <w:tcW w:w="4077" w:type="dxa"/>
          </w:tcPr>
          <w:p>
            <w:pPr>
              <w:pStyle w:val="15"/>
              <w:spacing w:before="78" w:line="218" w:lineRule="auto"/>
              <w:ind w:left="1654"/>
            </w:pPr>
            <w:r>
              <w:rPr>
                <w:b/>
                <w:bCs/>
                <w:spacing w:val="-4"/>
              </w:rPr>
              <w:t>法律依据</w:t>
            </w:r>
          </w:p>
        </w:tc>
        <w:tc>
          <w:tcPr>
            <w:tcW w:w="1869" w:type="dxa"/>
          </w:tcPr>
          <w:p>
            <w:pPr>
              <w:pStyle w:val="15"/>
              <w:spacing w:before="80" w:line="221" w:lineRule="auto"/>
              <w:ind w:left="547"/>
            </w:pPr>
            <w:r>
              <w:rPr>
                <w:b/>
                <w:bCs/>
                <w:spacing w:val="-5"/>
              </w:rPr>
              <w:t>实施主体</w:t>
            </w:r>
          </w:p>
        </w:tc>
        <w:tc>
          <w:tcPr>
            <w:tcW w:w="4117" w:type="dxa"/>
          </w:tcPr>
          <w:p>
            <w:pPr>
              <w:pStyle w:val="15"/>
              <w:spacing w:before="80" w:line="221" w:lineRule="auto"/>
              <w:ind w:left="1298"/>
            </w:pPr>
            <w:r>
              <w:rPr>
                <w:b/>
                <w:bCs/>
                <w:spacing w:val="-4"/>
              </w:rPr>
              <w:t>不予处罚适用情形</w:t>
            </w:r>
          </w:p>
        </w:tc>
        <w:tc>
          <w:tcPr>
            <w:tcW w:w="964" w:type="dxa"/>
          </w:tcPr>
          <w:p>
            <w:pPr>
              <w:pStyle w:val="15"/>
              <w:spacing w:before="81" w:line="221" w:lineRule="auto"/>
              <w:ind w:left="301"/>
            </w:pPr>
            <w:r>
              <w:rPr>
                <w:b/>
                <w:bCs/>
                <w:spacing w:val="-5"/>
              </w:rPr>
              <w:t>备注</w:t>
            </w:r>
          </w:p>
        </w:tc>
      </w:tr>
      <w:tr>
        <w:trPr>
          <w:trHeight w:val="2576"/>
        </w:trPr>
        <w:tc>
          <w:tcPr>
            <w:tcW w:w="964" w:type="dxa"/>
          </w:tcPr>
          <w:p>
            <w:pPr>
              <w:spacing w:line="288" w:lineRule="auto"/>
              <w:jc w:val="left"/>
              <w:rPr>
                <w:rFonts w:ascii="Arial" w:hAnsi="Arial"/>
                <w:sz w:val="21"/>
              </w:rPr>
            </w:pPr>
          </w:p>
          <w:p>
            <w:pPr>
              <w:spacing w:line="288" w:lineRule="auto"/>
              <w:jc w:val="left"/>
              <w:rPr>
                <w:rFonts w:ascii="Arial" w:hAnsi="Arial"/>
                <w:sz w:val="21"/>
              </w:rPr>
            </w:pPr>
          </w:p>
          <w:p>
            <w:pPr>
              <w:spacing w:line="288" w:lineRule="auto"/>
              <w:jc w:val="left"/>
              <w:rPr>
                <w:rFonts w:ascii="Arial" w:hAnsi="Arial"/>
                <w:sz w:val="21"/>
              </w:rPr>
            </w:pPr>
          </w:p>
          <w:p>
            <w:pPr>
              <w:spacing w:line="288" w:lineRule="auto"/>
              <w:jc w:val="left"/>
              <w:rPr>
                <w:rFonts w:ascii="Arial" w:hAnsi="Arial"/>
                <w:sz w:val="21"/>
              </w:rPr>
            </w:pPr>
          </w:p>
          <w:p>
            <w:pPr>
              <w:pStyle w:val="15"/>
              <w:spacing w:before="62" w:line="240" w:lineRule="auto"/>
              <w:ind w:left="425"/>
              <w:jc w:val="left"/>
            </w:pPr>
            <w:r>
              <w:rPr>
                <w:color w:val="305050"/>
              </w:rPr>
              <w:t>1</w:t>
            </w:r>
          </w:p>
        </w:tc>
        <w:tc>
          <w:tcPr>
            <w:tcW w:w="2329" w:type="dxa"/>
          </w:tcPr>
          <w:p>
            <w:pPr>
              <w:pStyle w:val="15"/>
              <w:spacing w:before="4" w:line="218" w:lineRule="auto"/>
              <w:jc w:val="left"/>
              <w:rPr>
                <w:rFonts w:ascii="Arial" w:eastAsia="Arial" w:cs="Arial" w:hAnsi="Arial" w:hint="eastAsia"/>
                <w:snapToGrid w:val="0"/>
                <w:color w:val="000000"/>
                <w:kern w:val="0"/>
                <w:sz w:val="21"/>
                <w:szCs w:val="21"/>
                <w:lang w:val="en-US" w:bidi="ar-SA"/>
              </w:rPr>
            </w:pPr>
          </w:p>
          <w:p>
            <w:pPr>
              <w:pStyle w:val="15"/>
              <w:spacing w:before="4" w:line="218" w:lineRule="auto"/>
              <w:jc w:val="left"/>
              <w:rPr>
                <w:rFonts w:ascii="Arial" w:eastAsia="Arial" w:cs="Arial" w:hAnsi="Arial" w:hint="eastAsia"/>
                <w:snapToGrid w:val="0"/>
                <w:color w:val="000000"/>
                <w:kern w:val="0"/>
                <w:sz w:val="21"/>
                <w:szCs w:val="21"/>
                <w:lang w:val="en-US" w:bidi="ar-SA"/>
              </w:rPr>
            </w:pPr>
          </w:p>
          <w:p>
            <w:pPr>
              <w:pStyle w:val="15"/>
              <w:spacing w:before="4" w:line="218" w:lineRule="auto"/>
              <w:jc w:val="left"/>
              <w:rPr>
                <w:rFonts w:ascii="Arial" w:eastAsia="Arial" w:cs="Arial" w:hAnsi="Arial" w:hint="eastAsia"/>
                <w:snapToGrid w:val="0"/>
                <w:color w:val="000000"/>
                <w:kern w:val="0"/>
                <w:sz w:val="21"/>
                <w:szCs w:val="21"/>
                <w:lang w:val="en-US" w:bidi="ar-SA"/>
              </w:rPr>
            </w:pPr>
          </w:p>
          <w:p>
            <w:pPr>
              <w:pStyle w:val="15"/>
              <w:spacing w:before="4" w:line="218" w:lineRule="auto"/>
              <w:jc w:val="left"/>
              <w:rPr>
                <w:rFonts w:ascii="Arial" w:eastAsia="Arial" w:cs="Arial" w:hAnsi="Arial" w:hint="eastAsia"/>
                <w:snapToGrid w:val="0"/>
                <w:color w:val="000000"/>
                <w:kern w:val="0"/>
                <w:sz w:val="21"/>
                <w:szCs w:val="21"/>
                <w:lang w:val="en-US" w:bidi="ar-SA"/>
              </w:rPr>
            </w:pPr>
            <w:r>
              <w:rPr>
                <w:rFonts w:ascii="Arial" w:eastAsia="Arial" w:cs="Arial" w:hAnsi="Arial" w:hint="eastAsia"/>
                <w:snapToGrid w:val="0"/>
                <w:color w:val="000000"/>
                <w:kern w:val="0"/>
                <w:sz w:val="21"/>
                <w:szCs w:val="21"/>
                <w:lang w:val="en-US" w:bidi="ar-SA"/>
              </w:rPr>
              <w:t>违反《企业事业单位内部治安保卫条例》第十九条    不落实单位内部治安保卫措施</w:t>
            </w:r>
          </w:p>
        </w:tc>
        <w:tc>
          <w:tcPr>
            <w:tcW w:w="4077" w:type="dxa"/>
          </w:tcPr>
          <w:p>
            <w:pPr>
              <w:pStyle w:val="15"/>
              <w:spacing w:before="5" w:line="202" w:lineRule="auto"/>
              <w:jc w:val="left"/>
              <w:rPr>
                <w:rFonts w:ascii="Arial" w:eastAsia="Arial" w:cs="Arial" w:hAnsi="Arial" w:hint="eastAsia"/>
                <w:snapToGrid w:val="0"/>
                <w:color w:val="000000"/>
                <w:kern w:val="0"/>
                <w:sz w:val="21"/>
                <w:szCs w:val="21"/>
                <w:lang w:val="en-US" w:bidi="ar-SA"/>
              </w:rPr>
            </w:pPr>
          </w:p>
          <w:p>
            <w:pPr>
              <w:pStyle w:val="15"/>
              <w:spacing w:before="5" w:line="202" w:lineRule="auto"/>
              <w:jc w:val="left"/>
              <w:rPr>
                <w:rFonts w:ascii="Arial" w:eastAsia="Arial" w:cs="Arial" w:hAnsi="Arial" w:hint="eastAsia"/>
                <w:snapToGrid w:val="0"/>
                <w:color w:val="000000"/>
                <w:kern w:val="0"/>
                <w:sz w:val="21"/>
                <w:szCs w:val="21"/>
                <w:lang w:val="en-US" w:bidi="ar-SA"/>
              </w:rPr>
            </w:pPr>
          </w:p>
          <w:p>
            <w:pPr>
              <w:pStyle w:val="15"/>
              <w:spacing w:before="5" w:line="202" w:lineRule="auto"/>
              <w:jc w:val="left"/>
              <w:rPr>
                <w:rFonts w:ascii="Arial" w:eastAsia="Arial" w:cs="Arial" w:hAnsi="Arial" w:hint="eastAsia"/>
                <w:snapToGrid w:val="0"/>
                <w:color w:val="000000"/>
                <w:kern w:val="0"/>
                <w:sz w:val="21"/>
                <w:szCs w:val="21"/>
                <w:lang w:val="en-US" w:bidi="ar-SA"/>
              </w:rPr>
            </w:pPr>
          </w:p>
          <w:p>
            <w:pPr>
              <w:pStyle w:val="15"/>
              <w:spacing w:before="5" w:line="202" w:lineRule="auto"/>
              <w:jc w:val="left"/>
              <w:rPr>
                <w:rFonts w:ascii="Arial" w:eastAsia="Arial" w:cs="Arial" w:hAnsi="Arial" w:hint="eastAsia"/>
                <w:snapToGrid w:val="0"/>
                <w:color w:val="000000"/>
                <w:kern w:val="0"/>
                <w:sz w:val="21"/>
                <w:szCs w:val="21"/>
                <w:lang w:val="en-US" w:bidi="ar-SA"/>
              </w:rPr>
            </w:pPr>
          </w:p>
          <w:p>
            <w:pPr>
              <w:pStyle w:val="15"/>
              <w:spacing w:before="5" w:line="202" w:lineRule="auto"/>
              <w:jc w:val="left"/>
              <w:rPr>
                <w:rFonts w:ascii="Arial" w:eastAsia="Arial" w:cs="Arial" w:hAnsi="Arial" w:hint="eastAsia"/>
                <w:snapToGrid w:val="0"/>
                <w:color w:val="000000"/>
                <w:kern w:val="0"/>
                <w:sz w:val="21"/>
                <w:szCs w:val="21"/>
                <w:lang w:val="en-US" w:bidi="ar-SA"/>
              </w:rPr>
            </w:pPr>
            <w:r>
              <w:rPr>
                <w:rFonts w:ascii="Arial" w:eastAsia="Arial" w:cs="Arial" w:hAnsi="Arial" w:hint="eastAsia"/>
                <w:snapToGrid w:val="0"/>
                <w:color w:val="000000"/>
                <w:kern w:val="0"/>
                <w:sz w:val="21"/>
                <w:szCs w:val="21"/>
                <w:lang w:val="en-US" w:bidi="ar-SA"/>
              </w:rPr>
              <w:t>《中华人民共和国行政处罚法》（2021年1月22日修订通过，自2021年7月15日起施行。）第三十三条</w:t>
            </w:r>
          </w:p>
        </w:tc>
        <w:tc>
          <w:tcPr>
            <w:tcW w:w="1869" w:type="dxa"/>
          </w:tcPr>
          <w:p>
            <w:pPr>
              <w:jc w:val="center"/>
              <w:rPr>
                <w:rFonts w:ascii="Arial" w:eastAsia="Arial" w:cs="Arial" w:hAnsi="Arial" w:hint="eastAsia"/>
                <w:snapToGrid w:val="0"/>
                <w:color w:val="000000"/>
                <w:kern w:val="0"/>
                <w:sz w:val="21"/>
                <w:szCs w:val="21"/>
                <w:lang w:val="en-US" w:bidi="ar-SA"/>
              </w:rPr>
            </w:pPr>
          </w:p>
          <w:p>
            <w:pPr>
              <w:jc w:val="center"/>
              <w:rPr>
                <w:rFonts w:ascii="Arial" w:eastAsia="Arial" w:cs="Arial" w:hAnsi="Arial" w:hint="eastAsia"/>
                <w:snapToGrid w:val="0"/>
                <w:color w:val="000000"/>
                <w:kern w:val="0"/>
                <w:sz w:val="21"/>
                <w:szCs w:val="21"/>
                <w:lang w:val="en-US" w:bidi="ar-SA"/>
              </w:rPr>
            </w:pPr>
          </w:p>
          <w:p>
            <w:pPr>
              <w:jc w:val="center"/>
              <w:rPr>
                <w:rFonts w:ascii="Arial" w:eastAsia="Arial" w:cs="Arial" w:hAnsi="Arial" w:hint="eastAsia"/>
                <w:snapToGrid w:val="0"/>
                <w:color w:val="000000"/>
                <w:kern w:val="0"/>
                <w:sz w:val="21"/>
                <w:szCs w:val="21"/>
                <w:lang w:val="en-US" w:bidi="ar-SA"/>
              </w:rPr>
            </w:pPr>
          </w:p>
          <w:p>
            <w:pPr>
              <w:jc w:val="center"/>
              <w:rPr>
                <w:rFonts w:ascii="Arial" w:eastAsia="Arial" w:cs="Arial" w:hAnsi="Arial" w:hint="eastAsia"/>
                <w:snapToGrid w:val="0"/>
                <w:color w:val="000000"/>
                <w:kern w:val="0"/>
                <w:sz w:val="21"/>
                <w:szCs w:val="21"/>
                <w:lang w:val="en-US" w:bidi="ar-SA"/>
              </w:rPr>
            </w:pPr>
          </w:p>
          <w:p>
            <w:pPr>
              <w:jc w:val="center"/>
              <w:rPr>
                <w:rFonts w:ascii="Arial" w:eastAsia="Arial" w:cs="Arial" w:hAnsi="Arial" w:hint="eastAsia"/>
                <w:snapToGrid w:val="0"/>
                <w:color w:val="000000"/>
                <w:kern w:val="0"/>
                <w:sz w:val="21"/>
                <w:szCs w:val="21"/>
                <w:lang w:val="en-US" w:bidi="ar-SA"/>
              </w:rPr>
            </w:pPr>
          </w:p>
          <w:p>
            <w:pPr>
              <w:pStyle w:val="15"/>
              <w:spacing w:before="46" w:line="182" w:lineRule="auto"/>
              <w:ind w:firstLineChars="100" w:firstLine="210"/>
              <w:jc w:val="center"/>
              <w:rPr>
                <w:rFonts w:ascii="Arial" w:eastAsia="宋体" w:cs="Arial" w:hAnsi="Arial" w:hint="eastAsia"/>
                <w:snapToGrid w:val="0"/>
                <w:color w:val="000000"/>
                <w:kern w:val="0"/>
                <w:sz w:val="21"/>
                <w:szCs w:val="21"/>
                <w:lang w:val="en-US" w:eastAsia="zh-CN" w:bidi="ar-SA"/>
              </w:rPr>
            </w:pPr>
            <w:r>
              <w:rPr>
                <w:rFonts w:ascii="Arial" w:cs="Arial" w:hAnsi="Arial" w:hint="eastAsia"/>
                <w:snapToGrid w:val="0"/>
                <w:color w:val="000000"/>
                <w:kern w:val="0"/>
                <w:sz w:val="21"/>
                <w:szCs w:val="21"/>
                <w:lang w:val="en-US" w:eastAsia="zh-CN" w:bidi="ar-SA"/>
              </w:rPr>
              <w:t>突泉县公安局</w:t>
            </w:r>
          </w:p>
        </w:tc>
        <w:tc>
          <w:tcPr>
            <w:tcW w:w="4117" w:type="dxa"/>
          </w:tcPr>
          <w:p>
            <w:pPr>
              <w:pStyle w:val="15"/>
              <w:spacing w:before="35" w:line="218" w:lineRule="auto"/>
              <w:jc w:val="left"/>
              <w:rPr>
                <w:rFonts w:ascii="Arial" w:eastAsia="Arial" w:cs="Arial" w:hAnsi="Arial" w:hint="eastAsia"/>
                <w:snapToGrid w:val="0"/>
                <w:color w:val="000000"/>
                <w:kern w:val="0"/>
                <w:sz w:val="21"/>
                <w:szCs w:val="21"/>
                <w:lang w:val="en-US" w:bidi="ar-SA"/>
              </w:rPr>
            </w:pPr>
          </w:p>
          <w:p>
            <w:pPr>
              <w:pStyle w:val="15"/>
              <w:spacing w:before="35" w:line="218" w:lineRule="auto"/>
              <w:jc w:val="left"/>
              <w:rPr>
                <w:rFonts w:ascii="Arial" w:eastAsia="Arial" w:cs="Arial" w:hAnsi="Arial" w:hint="eastAsia"/>
                <w:snapToGrid w:val="0"/>
                <w:color w:val="000000"/>
                <w:kern w:val="0"/>
                <w:sz w:val="21"/>
                <w:szCs w:val="21"/>
                <w:lang w:val="en-US" w:bidi="ar-SA"/>
              </w:rPr>
            </w:pPr>
          </w:p>
          <w:p>
            <w:pPr>
              <w:pStyle w:val="15"/>
              <w:spacing w:before="35" w:line="218" w:lineRule="auto"/>
              <w:jc w:val="left"/>
              <w:rPr>
                <w:rFonts w:ascii="Arial" w:eastAsia="Arial" w:cs="Arial" w:hAnsi="Arial" w:hint="eastAsia"/>
                <w:snapToGrid w:val="0"/>
                <w:color w:val="000000"/>
                <w:kern w:val="0"/>
                <w:sz w:val="21"/>
                <w:szCs w:val="21"/>
                <w:lang w:val="en-US" w:bidi="ar-SA"/>
              </w:rPr>
            </w:pPr>
          </w:p>
          <w:p>
            <w:pPr>
              <w:pStyle w:val="15"/>
              <w:spacing w:before="35" w:line="218" w:lineRule="auto"/>
              <w:jc w:val="left"/>
              <w:rPr>
                <w:rFonts w:ascii="Arial" w:eastAsia="Arial" w:cs="Arial" w:hAnsi="Arial" w:hint="eastAsia"/>
                <w:snapToGrid w:val="0"/>
                <w:color w:val="000000"/>
                <w:kern w:val="0"/>
                <w:sz w:val="21"/>
                <w:szCs w:val="21"/>
                <w:lang w:val="en-US" w:bidi="ar-SA"/>
              </w:rPr>
            </w:pPr>
            <w:r>
              <w:rPr>
                <w:rFonts w:ascii="Arial" w:eastAsia="Arial" w:cs="Arial" w:hAnsi="Arial" w:hint="eastAsia"/>
                <w:snapToGrid w:val="0"/>
                <w:color w:val="000000"/>
                <w:kern w:val="0"/>
                <w:sz w:val="21"/>
                <w:szCs w:val="21"/>
                <w:lang w:val="en-US" w:bidi="ar-SA"/>
              </w:rPr>
              <w:t>首次发现，情节轻微，未造成危害后果或者危害后果轻微，在公安机关发现前主动改正或者在公安机关责令限期改正的期限内改正。</w:t>
            </w:r>
          </w:p>
        </w:tc>
        <w:tc>
          <w:tcPr>
            <w:tcW w:w="964" w:type="dxa"/>
          </w:tcPr>
          <w:p>
            <w:pPr>
              <w:jc w:val="left"/>
              <w:rPr>
                <w:rFonts w:ascii="Arial" w:hAnsi="Arial"/>
                <w:sz w:val="21"/>
              </w:rPr>
            </w:pPr>
          </w:p>
        </w:tc>
      </w:tr>
      <w:tr>
        <w:trPr>
          <w:trHeight w:val="1487"/>
        </w:trPr>
        <w:tc>
          <w:tcPr>
            <w:tcW w:w="964" w:type="dxa"/>
          </w:tcPr>
          <w:p>
            <w:pPr>
              <w:spacing w:line="302" w:lineRule="auto"/>
              <w:jc w:val="left"/>
              <w:rPr>
                <w:rFonts w:ascii="Arial" w:hAnsi="Arial"/>
                <w:sz w:val="21"/>
              </w:rPr>
            </w:pPr>
          </w:p>
          <w:p>
            <w:pPr>
              <w:spacing w:line="302" w:lineRule="auto"/>
              <w:jc w:val="left"/>
              <w:rPr>
                <w:rFonts w:ascii="Arial" w:hAnsi="Arial"/>
                <w:sz w:val="21"/>
              </w:rPr>
            </w:pPr>
          </w:p>
          <w:p>
            <w:pPr>
              <w:pStyle w:val="15"/>
              <w:spacing w:before="61" w:line="240" w:lineRule="auto"/>
              <w:ind w:left="425"/>
              <w:jc w:val="left"/>
            </w:pPr>
            <w:r>
              <w:t>2</w:t>
            </w:r>
          </w:p>
        </w:tc>
        <w:tc>
          <w:tcPr>
            <w:tcW w:w="2329" w:type="dxa"/>
          </w:tcPr>
          <w:p>
            <w:pPr>
              <w:jc w:val="left"/>
              <w:rPr>
                <w:rFonts w:ascii="Arial" w:hAnsi="Arial"/>
                <w:sz w:val="21"/>
              </w:rPr>
            </w:pPr>
            <w:r>
              <w:rPr>
                <w:rFonts w:ascii="Arial" w:hAnsi="Arial" w:hint="eastAsia"/>
                <w:sz w:val="21"/>
              </w:rPr>
              <w:t>违反《旅馆业治安管理办法》第四条第二款 旅馆变更登记后未规定向公安机关备案的</w:t>
            </w:r>
          </w:p>
        </w:tc>
        <w:tc>
          <w:tcPr>
            <w:tcW w:w="4077" w:type="dxa"/>
          </w:tcPr>
          <w:p>
            <w:pPr>
              <w:jc w:val="left"/>
              <w:rPr>
                <w:rFonts w:ascii="Arial" w:hAnsi="Arial"/>
                <w:sz w:val="21"/>
              </w:rPr>
            </w:pPr>
            <w:r>
              <w:rPr>
                <w:rFonts w:ascii="Arial" w:hAnsi="Arial" w:hint="eastAsia"/>
                <w:sz w:val="21"/>
              </w:rPr>
              <w:t>《中华人民共和国行政处罚法》（2021年1月22日修订通过，自2021年7月15日起施行。）第三十三条</w:t>
            </w:r>
          </w:p>
        </w:tc>
        <w:tc>
          <w:tcPr>
            <w:tcW w:w="1869" w:type="dxa"/>
          </w:tcPr>
          <w:p>
            <w:pPr>
              <w:jc w:val="center"/>
              <w:rPr>
                <w:rFonts w:ascii="Arial" w:cs="Arial" w:hAnsi="Arial" w:hint="eastAsia"/>
                <w:snapToGrid w:val="0"/>
                <w:color w:val="000000"/>
                <w:kern w:val="0"/>
                <w:sz w:val="21"/>
                <w:szCs w:val="21"/>
                <w:lang w:val="en-US" w:eastAsia="zh-CN" w:bidi="ar-SA"/>
              </w:rPr>
            </w:pPr>
          </w:p>
          <w:p>
            <w:pPr>
              <w:jc w:val="center"/>
              <w:rPr>
                <w:rFonts w:ascii="Arial" w:cs="Arial" w:hAnsi="Arial" w:hint="eastAsia"/>
                <w:snapToGrid w:val="0"/>
                <w:color w:val="000000"/>
                <w:kern w:val="0"/>
                <w:sz w:val="21"/>
                <w:szCs w:val="21"/>
                <w:lang w:val="en-US" w:eastAsia="zh-CN" w:bidi="ar-SA"/>
              </w:rPr>
            </w:pPr>
          </w:p>
          <w:p>
            <w:pPr>
              <w:jc w:val="center"/>
              <w:rPr>
                <w:rFonts w:ascii="Arial" w:cs="Arial" w:hAnsi="Arial" w:hint="eastAsia"/>
                <w:snapToGrid w:val="0"/>
                <w:color w:val="000000"/>
                <w:kern w:val="0"/>
                <w:sz w:val="21"/>
                <w:szCs w:val="21"/>
                <w:lang w:val="en-US" w:eastAsia="zh-CN" w:bidi="ar-SA"/>
              </w:rPr>
            </w:pPr>
          </w:p>
          <w:p>
            <w:pPr>
              <w:jc w:val="center"/>
              <w:rPr>
                <w:rFonts w:ascii="Arial" w:hAnsi="Arial"/>
                <w:sz w:val="21"/>
              </w:rPr>
            </w:pPr>
            <w:r>
              <w:rPr>
                <w:rFonts w:ascii="Arial" w:cs="Arial" w:hAnsi="Arial" w:hint="eastAsia"/>
                <w:snapToGrid w:val="0"/>
                <w:color w:val="000000"/>
                <w:kern w:val="0"/>
                <w:sz w:val="21"/>
                <w:szCs w:val="21"/>
                <w:lang w:val="en-US" w:eastAsia="zh-CN" w:bidi="ar-SA"/>
              </w:rPr>
              <w:t>突泉县公安局</w:t>
            </w:r>
          </w:p>
        </w:tc>
        <w:tc>
          <w:tcPr>
            <w:tcW w:w="4117" w:type="dxa"/>
          </w:tcPr>
          <w:p>
            <w:pPr>
              <w:jc w:val="left"/>
              <w:rPr>
                <w:rFonts w:ascii="Arial" w:hAnsi="Arial"/>
                <w:sz w:val="21"/>
              </w:rPr>
            </w:pPr>
            <w:r>
              <w:rPr>
                <w:rFonts w:ascii="Arial" w:hAnsi="Arial" w:hint="eastAsia"/>
                <w:sz w:val="21"/>
              </w:rPr>
              <w:t>首次发现，情节轻微，未造成危害后果或者危害后果轻微，在公安机关发现前主动改正或者在公安机关责令限期改正的期限内改正。</w:t>
            </w:r>
          </w:p>
        </w:tc>
        <w:tc>
          <w:tcPr>
            <w:tcW w:w="964" w:type="dxa"/>
          </w:tcPr>
          <w:p>
            <w:pPr>
              <w:jc w:val="left"/>
              <w:rPr>
                <w:rFonts w:ascii="Arial" w:hAnsi="Arial"/>
                <w:sz w:val="21"/>
              </w:rPr>
            </w:pPr>
          </w:p>
        </w:tc>
      </w:tr>
      <w:tr>
        <w:trPr>
          <w:trHeight w:val="1482"/>
        </w:trPr>
        <w:tc>
          <w:tcPr>
            <w:tcW w:w="964" w:type="dxa"/>
          </w:tcPr>
          <w:p>
            <w:pPr>
              <w:spacing w:line="305" w:lineRule="auto"/>
              <w:jc w:val="left"/>
              <w:rPr>
                <w:rFonts w:ascii="Arial" w:hAnsi="Arial"/>
                <w:sz w:val="21"/>
              </w:rPr>
            </w:pPr>
          </w:p>
          <w:p>
            <w:pPr>
              <w:spacing w:line="305" w:lineRule="auto"/>
              <w:jc w:val="left"/>
              <w:rPr>
                <w:rFonts w:ascii="Arial" w:hAnsi="Arial"/>
                <w:sz w:val="21"/>
              </w:rPr>
            </w:pPr>
          </w:p>
          <w:p>
            <w:pPr>
              <w:pStyle w:val="15"/>
              <w:spacing w:before="62"/>
              <w:ind w:left="425"/>
              <w:jc w:val="left"/>
            </w:pPr>
            <w:r>
              <w:t>3</w:t>
            </w:r>
          </w:p>
        </w:tc>
        <w:tc>
          <w:tcPr>
            <w:tcW w:w="2329" w:type="dxa"/>
          </w:tcPr>
          <w:p>
            <w:pPr>
              <w:jc w:val="left"/>
              <w:rPr>
                <w:rFonts w:ascii="Arial" w:hAnsi="Arial"/>
                <w:sz w:val="21"/>
              </w:rPr>
            </w:pPr>
            <w:r>
              <w:rPr>
                <w:rFonts w:ascii="Arial" w:hAnsi="Arial" w:hint="eastAsia"/>
                <w:sz w:val="21"/>
              </w:rPr>
              <w:t>违反《易制毒化学品管理条例第四十一条 易制毒化学品运输人员未全程携带运输许可证件或者备案证明</w:t>
            </w:r>
          </w:p>
        </w:tc>
        <w:tc>
          <w:tcPr>
            <w:tcW w:w="4077" w:type="dxa"/>
          </w:tcPr>
          <w:p>
            <w:pPr>
              <w:jc w:val="left"/>
              <w:rPr>
                <w:rFonts w:ascii="Arial" w:hAnsi="Arial"/>
                <w:sz w:val="21"/>
              </w:rPr>
            </w:pPr>
            <w:r>
              <w:rPr>
                <w:rFonts w:ascii="Arial" w:hAnsi="Arial" w:hint="eastAsia"/>
                <w:sz w:val="21"/>
              </w:rPr>
              <w:t>《中华人民共和国行政处罚法》（2021年1月22日修订通过，自2021年7月15日起施行。）第三十三条</w:t>
            </w:r>
          </w:p>
        </w:tc>
        <w:tc>
          <w:tcPr>
            <w:tcW w:w="1869" w:type="dxa"/>
          </w:tcPr>
          <w:p>
            <w:pPr>
              <w:jc w:val="center"/>
              <w:rPr>
                <w:rFonts w:ascii="Arial" w:cs="Arial" w:hAnsi="Arial" w:hint="eastAsia"/>
                <w:snapToGrid w:val="0"/>
                <w:color w:val="000000"/>
                <w:kern w:val="0"/>
                <w:sz w:val="21"/>
                <w:szCs w:val="21"/>
                <w:lang w:val="en-US" w:eastAsia="zh-CN" w:bidi="ar-SA"/>
              </w:rPr>
            </w:pPr>
          </w:p>
          <w:p>
            <w:pPr>
              <w:jc w:val="center"/>
              <w:rPr>
                <w:rFonts w:ascii="Arial" w:cs="Arial" w:hAnsi="Arial" w:hint="eastAsia"/>
                <w:snapToGrid w:val="0"/>
                <w:color w:val="000000"/>
                <w:kern w:val="0"/>
                <w:sz w:val="21"/>
                <w:szCs w:val="21"/>
                <w:lang w:val="en-US" w:eastAsia="zh-CN" w:bidi="ar-SA"/>
              </w:rPr>
            </w:pPr>
          </w:p>
          <w:p>
            <w:pPr>
              <w:jc w:val="center"/>
              <w:rPr>
                <w:rFonts w:ascii="Arial" w:cs="Arial" w:hAnsi="Arial" w:hint="eastAsia"/>
                <w:snapToGrid w:val="0"/>
                <w:color w:val="000000"/>
                <w:kern w:val="0"/>
                <w:sz w:val="21"/>
                <w:szCs w:val="21"/>
                <w:lang w:val="en-US" w:eastAsia="zh-CN" w:bidi="ar-SA"/>
              </w:rPr>
            </w:pPr>
          </w:p>
          <w:p>
            <w:pPr>
              <w:jc w:val="center"/>
              <w:rPr>
                <w:rFonts w:ascii="Arial" w:hAnsi="Arial"/>
                <w:sz w:val="21"/>
              </w:rPr>
            </w:pPr>
            <w:r>
              <w:rPr>
                <w:rFonts w:ascii="Arial" w:cs="Arial" w:hAnsi="Arial" w:hint="eastAsia"/>
                <w:snapToGrid w:val="0"/>
                <w:color w:val="000000"/>
                <w:kern w:val="0"/>
                <w:sz w:val="21"/>
                <w:szCs w:val="21"/>
                <w:lang w:val="en-US" w:eastAsia="zh-CN" w:bidi="ar-SA"/>
              </w:rPr>
              <w:t>突泉县公安局</w:t>
            </w:r>
          </w:p>
        </w:tc>
        <w:tc>
          <w:tcPr>
            <w:tcW w:w="4117" w:type="dxa"/>
          </w:tcPr>
          <w:p>
            <w:pPr>
              <w:jc w:val="left"/>
              <w:rPr>
                <w:rFonts w:ascii="Arial" w:hAnsi="Arial"/>
                <w:sz w:val="21"/>
              </w:rPr>
            </w:pPr>
            <w:r>
              <w:rPr>
                <w:rFonts w:ascii="Arial" w:hAnsi="Arial" w:hint="eastAsia"/>
                <w:sz w:val="21"/>
              </w:rPr>
              <w:t>1.已通过网上系统办理相关证件，但运输途中未携带纸质证明；2.自行纠正或者在限期内改正；3.未造成危害后果或者危害后果轻微；4、未携带运输证需24小时内补充提供或出示电子版证明。</w:t>
            </w:r>
          </w:p>
        </w:tc>
        <w:tc>
          <w:tcPr>
            <w:tcW w:w="964" w:type="dxa"/>
          </w:tcPr>
          <w:p>
            <w:pPr>
              <w:jc w:val="left"/>
              <w:rPr>
                <w:rFonts w:ascii="Arial" w:hAnsi="Arial"/>
                <w:sz w:val="21"/>
              </w:rPr>
            </w:pPr>
          </w:p>
        </w:tc>
      </w:tr>
      <w:tr>
        <w:trPr>
          <w:trHeight w:val="1482"/>
        </w:trPr>
        <w:tc>
          <w:tcPr>
            <w:tcW w:w="964" w:type="dxa"/>
          </w:tcPr>
          <w:p>
            <w:pPr>
              <w:pStyle w:val="15"/>
              <w:spacing w:before="62"/>
              <w:ind w:left="425"/>
              <w:jc w:val="left"/>
              <w:rPr>
                <w:lang w:val="en-US" w:eastAsia="zh-CN"/>
              </w:rPr>
            </w:pPr>
          </w:p>
          <w:p>
            <w:pPr>
              <w:pStyle w:val="15"/>
              <w:spacing w:before="62"/>
              <w:ind w:left="425"/>
              <w:jc w:val="left"/>
              <w:rPr>
                <w:lang w:val="en-US" w:eastAsia="zh-CN"/>
              </w:rPr>
            </w:pPr>
          </w:p>
          <w:p>
            <w:pPr>
              <w:pStyle w:val="15"/>
              <w:spacing w:before="62"/>
              <w:ind w:left="425"/>
              <w:jc w:val="left"/>
              <w:rPr>
                <w:rFonts w:eastAsia="宋体" w:hint="eastAsia"/>
                <w:lang w:val="en-US" w:eastAsia="zh-CN"/>
              </w:rPr>
            </w:pPr>
            <w:r>
              <w:rPr>
                <w:lang w:val="en-US" w:eastAsia="zh-CN"/>
              </w:rPr>
              <w:t>4</w:t>
            </w:r>
          </w:p>
        </w:tc>
        <w:tc>
          <w:tcPr>
            <w:tcW w:w="2329" w:type="dxa"/>
          </w:tcPr>
          <w:p>
            <w:pPr>
              <w:jc w:val="left"/>
              <w:rPr>
                <w:rFonts w:ascii="Arial" w:hAnsi="Arial" w:hint="eastAsia"/>
                <w:sz w:val="21"/>
              </w:rPr>
            </w:pPr>
            <w:r>
              <w:rPr>
                <w:rFonts w:ascii="Arial" w:hAnsi="Arial" w:hint="eastAsia"/>
                <w:sz w:val="21"/>
              </w:rPr>
              <w:t>违反《中华人民共和国治安管理处罚法》 第八十九条 饲养动物干扰他人正常生活</w:t>
            </w:r>
          </w:p>
        </w:tc>
        <w:tc>
          <w:tcPr>
            <w:tcW w:w="4077" w:type="dxa"/>
          </w:tcPr>
          <w:p>
            <w:pPr>
              <w:jc w:val="left"/>
              <w:rPr>
                <w:rFonts w:ascii="Arial" w:hAnsi="Arial" w:hint="eastAsia"/>
                <w:sz w:val="21"/>
              </w:rPr>
            </w:pPr>
            <w:r>
              <w:rPr>
                <w:rFonts w:ascii="Arial" w:hAnsi="Arial" w:hint="eastAsia"/>
                <w:sz w:val="21"/>
              </w:rPr>
              <w:t>《中华人民共和国行政处罚法》（2021年1月22日修订通过，自2021年7月15日起施行。）第三十三条　 《中华人民共和国治安管理处罚法》（2025年6月27日修订通过，自2026年1月1日起施行。）第二十条</w:t>
            </w:r>
          </w:p>
        </w:tc>
        <w:tc>
          <w:tcPr>
            <w:tcW w:w="1869" w:type="dxa"/>
          </w:tcPr>
          <w:p>
            <w:pPr>
              <w:jc w:val="center"/>
              <w:rPr>
                <w:rFonts w:ascii="Arial" w:cs="Arial" w:hAnsi="Arial" w:hint="eastAsia"/>
                <w:snapToGrid w:val="0"/>
                <w:color w:val="000000"/>
                <w:kern w:val="0"/>
                <w:sz w:val="21"/>
                <w:szCs w:val="21"/>
                <w:lang w:val="en-US" w:eastAsia="zh-CN" w:bidi="ar-SA"/>
              </w:rPr>
            </w:pPr>
          </w:p>
          <w:p>
            <w:pPr>
              <w:jc w:val="center"/>
              <w:rPr>
                <w:rFonts w:ascii="Arial" w:cs="Arial" w:hAnsi="Arial" w:hint="eastAsia"/>
                <w:snapToGrid w:val="0"/>
                <w:color w:val="000000"/>
                <w:kern w:val="0"/>
                <w:sz w:val="21"/>
                <w:szCs w:val="21"/>
                <w:lang w:val="en-US" w:eastAsia="zh-CN" w:bidi="ar-SA"/>
              </w:rPr>
            </w:pPr>
          </w:p>
          <w:p>
            <w:pPr>
              <w:jc w:val="center"/>
              <w:rPr>
                <w:rFonts w:ascii="Arial" w:cs="Arial" w:hAnsi="Arial" w:hint="eastAsia"/>
                <w:snapToGrid w:val="0"/>
                <w:color w:val="000000"/>
                <w:kern w:val="0"/>
                <w:sz w:val="21"/>
                <w:szCs w:val="21"/>
                <w:lang w:val="en-US" w:eastAsia="zh-CN" w:bidi="ar-SA"/>
              </w:rPr>
            </w:pPr>
          </w:p>
          <w:p>
            <w:pPr>
              <w:jc w:val="center"/>
              <w:rPr>
                <w:rFonts w:ascii="Arial" w:hAnsi="Arial"/>
                <w:sz w:val="21"/>
              </w:rPr>
            </w:pPr>
            <w:r>
              <w:rPr>
                <w:rFonts w:ascii="Arial" w:cs="Arial" w:hAnsi="Arial" w:hint="eastAsia"/>
                <w:snapToGrid w:val="0"/>
                <w:color w:val="000000"/>
                <w:kern w:val="0"/>
                <w:sz w:val="21"/>
                <w:szCs w:val="21"/>
                <w:lang w:val="en-US" w:eastAsia="zh-CN" w:bidi="ar-SA"/>
              </w:rPr>
              <w:t>突泉县公安局</w:t>
            </w:r>
          </w:p>
        </w:tc>
        <w:tc>
          <w:tcPr>
            <w:tcW w:w="4117" w:type="dxa"/>
            <w:shd w:val="clear" w:color="auto" w:fill="auto"/>
            <w:vAlign w:val="center"/>
          </w:tcPr>
          <w:p>
            <w:pPr>
              <w:keepNext w:val="0"/>
              <w:keepLines w:val="0"/>
              <w:widowControl/>
              <w:suppressLineNumbers w:val="0"/>
              <w:jc w:val="left"/>
              <w:textAlignment w:val="center"/>
              <w:rPr>
                <w:rFonts w:ascii="方正仿宋_GBK" w:eastAsia="方正仿宋_GBK" w:cs="方正仿宋_GBK" w:hAnsi="方正仿宋_GBK"/>
                <w:i w:val="0"/>
                <w:iCs w:val="0"/>
                <w:snapToGrid w:val="0"/>
                <w:color w:val="000000"/>
                <w:kern w:val="0"/>
                <w:sz w:val="24"/>
                <w:szCs w:val="24"/>
                <w:u w:val="none"/>
                <w:lang w:val="en-US" w:eastAsia="zh-CN"/>
              </w:rPr>
            </w:pPr>
            <w:r>
              <w:rPr>
                <w:rFonts w:ascii="方正仿宋_GBK" w:eastAsia="方正仿宋_GBK" w:cs="方正仿宋_GBK" w:hAnsi="方正仿宋_GBK"/>
                <w:i w:val="0"/>
                <w:iCs w:val="0"/>
                <w:snapToGrid w:val="0"/>
                <w:color w:val="000000"/>
                <w:kern w:val="0"/>
                <w:sz w:val="24"/>
                <w:szCs w:val="24"/>
                <w:u w:val="none"/>
                <w:lang w:val="en-US" w:eastAsia="zh-CN"/>
              </w:rPr>
              <w:t>初次违反，经劝阻或者指出后立即停止，并取得被害人谅解的。</w:t>
            </w:r>
          </w:p>
        </w:tc>
        <w:tc>
          <w:tcPr>
            <w:tcW w:w="964" w:type="dxa"/>
          </w:tcPr>
          <w:p>
            <w:pPr>
              <w:jc w:val="left"/>
              <w:rPr>
                <w:rFonts w:ascii="Arial" w:hAnsi="Arial"/>
                <w:sz w:val="21"/>
              </w:rPr>
            </w:pPr>
          </w:p>
        </w:tc>
      </w:tr>
      <w:tr>
        <w:trPr>
          <w:trHeight w:val="1482"/>
        </w:trPr>
        <w:tc>
          <w:tcPr>
            <w:tcW w:w="964" w:type="dxa"/>
          </w:tcPr>
          <w:p>
            <w:pPr>
              <w:pStyle w:val="15"/>
              <w:spacing w:before="62"/>
              <w:ind w:left="425"/>
              <w:jc w:val="left"/>
              <w:rPr>
                <w:lang w:val="en-US" w:eastAsia="zh-CN"/>
              </w:rPr>
            </w:pPr>
          </w:p>
          <w:p>
            <w:pPr>
              <w:pStyle w:val="15"/>
              <w:spacing w:before="62"/>
              <w:ind w:left="425"/>
              <w:jc w:val="left"/>
              <w:rPr>
                <w:lang w:val="en-US" w:eastAsia="zh-CN"/>
              </w:rPr>
            </w:pPr>
          </w:p>
          <w:p>
            <w:pPr>
              <w:pStyle w:val="15"/>
              <w:spacing w:before="62"/>
              <w:ind w:left="425"/>
              <w:jc w:val="left"/>
              <w:rPr>
                <w:rFonts w:eastAsia="宋体" w:hint="eastAsia"/>
                <w:lang w:val="en-US" w:eastAsia="zh-CN"/>
              </w:rPr>
            </w:pPr>
            <w:r>
              <w:rPr>
                <w:lang w:val="en-US" w:eastAsia="zh-CN"/>
              </w:rPr>
              <w:t>5</w:t>
            </w:r>
          </w:p>
        </w:tc>
        <w:tc>
          <w:tcPr>
            <w:tcW w:w="2329" w:type="dxa"/>
          </w:tcPr>
          <w:p>
            <w:pPr>
              <w:jc w:val="left"/>
              <w:rPr>
                <w:rFonts w:ascii="Arial" w:hAnsi="Arial" w:hint="eastAsia"/>
                <w:sz w:val="21"/>
              </w:rPr>
            </w:pPr>
            <w:r>
              <w:rPr>
                <w:rFonts w:ascii="Arial" w:hAnsi="Arial" w:hint="eastAsia"/>
                <w:sz w:val="21"/>
              </w:rPr>
              <w:t>违反《中华人民共和国治安管理处罚法》第八十八条 制造噪声干扰正常生活</w:t>
            </w:r>
          </w:p>
        </w:tc>
        <w:tc>
          <w:tcPr>
            <w:tcW w:w="4077" w:type="dxa"/>
          </w:tcPr>
          <w:p>
            <w:pPr>
              <w:jc w:val="left"/>
              <w:rPr>
                <w:rFonts w:ascii="Arial" w:hAnsi="Arial" w:hint="eastAsia"/>
                <w:sz w:val="21"/>
              </w:rPr>
            </w:pPr>
            <w:r>
              <w:rPr>
                <w:rFonts w:ascii="Arial" w:hAnsi="Arial" w:hint="eastAsia"/>
                <w:sz w:val="21"/>
              </w:rPr>
              <w:t>《中华人民共和国行政处罚法》（2021年1月22日修订通过，自2021年7月15日起施行。）第三十三条　 《中华人民共和国治安管理处罚法》（2025年6月27日修订通过，自2026年1月1日起施行。）第二十条</w:t>
            </w:r>
          </w:p>
        </w:tc>
        <w:tc>
          <w:tcPr>
            <w:tcW w:w="1869" w:type="dxa"/>
          </w:tcPr>
          <w:p>
            <w:pPr>
              <w:jc w:val="center"/>
              <w:rPr>
                <w:rFonts w:ascii="Arial" w:cs="Arial" w:hAnsi="Arial" w:hint="eastAsia"/>
                <w:snapToGrid w:val="0"/>
                <w:color w:val="000000"/>
                <w:kern w:val="0"/>
                <w:sz w:val="21"/>
                <w:szCs w:val="21"/>
                <w:lang w:val="en-US" w:eastAsia="zh-CN" w:bidi="ar-SA"/>
              </w:rPr>
            </w:pPr>
          </w:p>
          <w:p>
            <w:pPr>
              <w:jc w:val="center"/>
              <w:rPr>
                <w:rFonts w:ascii="Arial" w:cs="Arial" w:hAnsi="Arial" w:hint="eastAsia"/>
                <w:snapToGrid w:val="0"/>
                <w:color w:val="000000"/>
                <w:kern w:val="0"/>
                <w:sz w:val="21"/>
                <w:szCs w:val="21"/>
                <w:lang w:val="en-US" w:eastAsia="zh-CN" w:bidi="ar-SA"/>
              </w:rPr>
            </w:pPr>
          </w:p>
          <w:p>
            <w:pPr>
              <w:jc w:val="center"/>
              <w:rPr>
                <w:rFonts w:ascii="Arial" w:cs="Arial" w:hAnsi="Arial" w:hint="eastAsia"/>
                <w:snapToGrid w:val="0"/>
                <w:color w:val="000000"/>
                <w:kern w:val="0"/>
                <w:sz w:val="21"/>
                <w:szCs w:val="21"/>
                <w:lang w:val="en-US" w:eastAsia="zh-CN" w:bidi="ar-SA"/>
              </w:rPr>
            </w:pPr>
          </w:p>
          <w:p>
            <w:pPr>
              <w:jc w:val="center"/>
              <w:rPr>
                <w:rFonts w:ascii="Arial" w:hAnsi="Arial"/>
                <w:sz w:val="21"/>
              </w:rPr>
            </w:pPr>
            <w:r>
              <w:rPr>
                <w:rFonts w:ascii="Arial" w:cs="Arial" w:hAnsi="Arial" w:hint="eastAsia"/>
                <w:snapToGrid w:val="0"/>
                <w:color w:val="000000"/>
                <w:kern w:val="0"/>
                <w:sz w:val="21"/>
                <w:szCs w:val="21"/>
                <w:lang w:val="en-US" w:eastAsia="zh-CN" w:bidi="ar-SA"/>
              </w:rPr>
              <w:t>突泉县公安局</w:t>
            </w:r>
          </w:p>
        </w:tc>
        <w:tc>
          <w:tcPr>
            <w:tcW w:w="4117" w:type="dxa"/>
            <w:shd w:val="clear" w:color="auto" w:fill="auto"/>
            <w:vAlign w:val="center"/>
          </w:tcPr>
          <w:p>
            <w:pPr>
              <w:keepNext w:val="0"/>
              <w:keepLines w:val="0"/>
              <w:widowControl/>
              <w:suppressLineNumbers w:val="0"/>
              <w:jc w:val="left"/>
              <w:textAlignment w:val="center"/>
              <w:rPr>
                <w:rFonts w:ascii="方正仿宋_GBK" w:eastAsia="方正仿宋_GBK" w:cs="方正仿宋_GBK" w:hAnsi="方正仿宋_GBK"/>
                <w:i w:val="0"/>
                <w:iCs w:val="0"/>
                <w:snapToGrid w:val="0"/>
                <w:color w:val="000000"/>
                <w:kern w:val="0"/>
                <w:sz w:val="24"/>
                <w:szCs w:val="24"/>
                <w:u w:val="none"/>
                <w:lang w:val="en-US" w:eastAsia="zh-CN"/>
              </w:rPr>
            </w:pPr>
            <w:r>
              <w:rPr>
                <w:rFonts w:ascii="方正仿宋_GBK" w:eastAsia="方正仿宋_GBK" w:cs="方正仿宋_GBK" w:hAnsi="方正仿宋_GBK"/>
                <w:i w:val="0"/>
                <w:iCs w:val="0"/>
                <w:snapToGrid w:val="0"/>
                <w:color w:val="000000"/>
                <w:kern w:val="0"/>
                <w:sz w:val="24"/>
                <w:szCs w:val="24"/>
                <w:u w:val="none"/>
                <w:lang w:val="en-US" w:eastAsia="zh-CN"/>
              </w:rPr>
              <w:t>初次违反，经劝阻或者指出后立即停止，并取得被害人谅解的。</w:t>
            </w:r>
          </w:p>
        </w:tc>
        <w:tc>
          <w:tcPr>
            <w:tcW w:w="964" w:type="dxa"/>
          </w:tcPr>
          <w:p>
            <w:pPr>
              <w:jc w:val="left"/>
              <w:rPr>
                <w:rFonts w:ascii="Arial" w:hAnsi="Arial"/>
                <w:sz w:val="21"/>
              </w:rPr>
            </w:pPr>
          </w:p>
        </w:tc>
      </w:tr>
      <w:tr>
        <w:trPr>
          <w:trHeight w:val="1482"/>
        </w:trPr>
        <w:tc>
          <w:tcPr>
            <w:tcW w:w="964" w:type="dxa"/>
          </w:tcPr>
          <w:p>
            <w:pPr>
              <w:pStyle w:val="15"/>
              <w:spacing w:before="62"/>
              <w:ind w:left="425"/>
              <w:rPr>
                <w:lang w:val="en-US" w:eastAsia="zh-CN"/>
              </w:rPr>
            </w:pPr>
          </w:p>
          <w:p>
            <w:pPr>
              <w:pStyle w:val="15"/>
              <w:spacing w:before="62"/>
              <w:ind w:left="425"/>
              <w:rPr>
                <w:lang w:val="en-US" w:eastAsia="zh-CN"/>
              </w:rPr>
            </w:pPr>
          </w:p>
          <w:p>
            <w:pPr>
              <w:pStyle w:val="15"/>
              <w:spacing w:before="62"/>
              <w:ind w:left="425"/>
              <w:rPr>
                <w:lang w:val="en-US" w:eastAsia="zh-CN"/>
              </w:rPr>
            </w:pPr>
            <w:r>
              <w:rPr>
                <w:lang w:val="en-US" w:eastAsia="zh-CN"/>
              </w:rPr>
              <w:t>6</w:t>
            </w:r>
          </w:p>
        </w:tc>
        <w:tc>
          <w:tcPr>
            <w:tcW w:w="2329" w:type="dxa"/>
          </w:tcPr>
          <w:p>
            <w:pPr>
              <w:rPr>
                <w:rFonts w:ascii="Arial" w:hAnsi="Arial"/>
                <w:sz w:val="21"/>
              </w:rPr>
            </w:pPr>
          </w:p>
          <w:p>
            <w:pPr>
              <w:rPr>
                <w:rFonts w:ascii="Arial" w:hAnsi="Arial"/>
                <w:sz w:val="21"/>
              </w:rPr>
            </w:pPr>
          </w:p>
          <w:p>
            <w:pPr>
              <w:rPr>
                <w:rFonts w:ascii="Arial" w:hAnsi="Arial"/>
                <w:sz w:val="21"/>
              </w:rPr>
            </w:pPr>
            <w:r>
              <w:rPr>
                <w:rFonts w:ascii="Arial" w:hAnsi="Arial"/>
                <w:sz w:val="21"/>
              </w:rPr>
              <w:t>治安案件的调节</w:t>
            </w:r>
          </w:p>
        </w:tc>
        <w:tc>
          <w:tcPr>
            <w:tcW w:w="4077" w:type="dxa"/>
          </w:tcPr>
          <w:p>
            <w:pPr>
              <w:rPr>
                <w:rFonts w:ascii="Arial" w:hAnsi="Arial"/>
                <w:sz w:val="21"/>
              </w:rPr>
            </w:pPr>
          </w:p>
          <w:p>
            <w:pPr>
              <w:rPr>
                <w:rFonts w:ascii="Arial" w:hAnsi="Arial"/>
                <w:sz w:val="21"/>
              </w:rPr>
            </w:pPr>
          </w:p>
          <w:p>
            <w:pPr>
              <w:rPr>
                <w:rFonts w:ascii="Arial" w:hAnsi="Arial"/>
                <w:sz w:val="21"/>
              </w:rPr>
            </w:pPr>
            <w:r>
              <w:rPr>
                <w:rFonts w:ascii="Arial" w:hAnsi="Arial"/>
                <w:sz w:val="21"/>
              </w:rPr>
              <w:t>《中华人民共和国治安管理处罚法》第9条</w:t>
            </w:r>
          </w:p>
        </w:tc>
        <w:tc>
          <w:tcPr>
            <w:tcW w:w="1869" w:type="dxa"/>
          </w:tcPr>
          <w:p>
            <w:pPr>
              <w:jc w:val="center"/>
              <w:rPr>
                <w:rFonts w:ascii="Arial" w:cs="Arial" w:hAnsi="Arial"/>
                <w:snapToGrid w:val="0"/>
                <w:color w:val="000000"/>
                <w:kern w:val="0"/>
                <w:sz w:val="21"/>
                <w:szCs w:val="21"/>
                <w:lang w:val="en-US" w:eastAsia="zh-CN" w:bidi="ar-SA"/>
              </w:rPr>
            </w:pPr>
          </w:p>
          <w:p>
            <w:pPr>
              <w:jc w:val="center"/>
              <w:rPr>
                <w:rFonts w:ascii="Arial" w:cs="Arial" w:hAnsi="Arial"/>
                <w:snapToGrid w:val="0"/>
                <w:color w:val="000000"/>
                <w:kern w:val="0"/>
                <w:sz w:val="21"/>
                <w:szCs w:val="21"/>
                <w:lang w:val="en-US" w:eastAsia="zh-CN" w:bidi="ar-SA"/>
              </w:rPr>
            </w:pPr>
          </w:p>
          <w:p>
            <w:pPr>
              <w:jc w:val="center"/>
              <w:rPr>
                <w:rFonts w:ascii="Arial" w:cs="Arial" w:hAnsi="Arial"/>
                <w:snapToGrid w:val="0"/>
                <w:color w:val="000000"/>
                <w:kern w:val="0"/>
                <w:sz w:val="21"/>
                <w:szCs w:val="21"/>
                <w:lang w:val="en-US" w:eastAsia="zh-CN" w:bidi="ar-SA"/>
              </w:rPr>
            </w:pPr>
            <w:r>
              <w:rPr>
                <w:rFonts w:ascii="Arial" w:cs="Arial" w:hAnsi="Arial" w:hint="eastAsia"/>
                <w:snapToGrid w:val="0"/>
                <w:color w:val="000000"/>
                <w:kern w:val="0"/>
                <w:sz w:val="21"/>
                <w:szCs w:val="21"/>
                <w:lang w:val="en-US" w:eastAsia="zh-CN" w:bidi="ar-SA"/>
              </w:rPr>
              <w:t>突泉县公安局</w:t>
            </w:r>
          </w:p>
        </w:tc>
        <w:tc>
          <w:tcPr>
            <w:tcW w:w="4117" w:type="dxa"/>
            <w:shd w:val="clear" w:color="auto" w:fill="auto"/>
            <w:vAlign w:val="center"/>
          </w:tcPr>
          <w:p>
            <w:pPr>
              <w:keepNext w:val="0"/>
              <w:keepLines w:val="0"/>
              <w:widowControl/>
              <w:suppressLineNumbers w:val="0"/>
              <w:textAlignment w:val="center"/>
              <w:rPr>
                <w:rFonts w:ascii="方正仿宋_GBK" w:eastAsia="方正仿宋_GBK" w:cs="方正仿宋_GBK" w:hAnsi="方正仿宋_GBK"/>
                <w:i w:val="0"/>
                <w:iCs w:val="0"/>
                <w:snapToGrid w:val="0"/>
                <w:color w:val="000000"/>
                <w:kern w:val="0"/>
                <w:sz w:val="24"/>
                <w:szCs w:val="24"/>
                <w:u w:val="none"/>
                <w:lang w:val="en-US" w:eastAsia="zh-CN"/>
              </w:rPr>
            </w:pPr>
            <w:r>
              <w:rPr>
                <w:rFonts w:ascii="方正仿宋_GBK" w:eastAsia="方正仿宋_GBK" w:cs="方正仿宋_GBK" w:hAnsi="方正仿宋_GBK"/>
                <w:i w:val="0"/>
                <w:iCs w:val="0"/>
                <w:snapToGrid w:val="0"/>
                <w:color w:val="000000"/>
                <w:kern w:val="0"/>
                <w:sz w:val="24"/>
                <w:szCs w:val="24"/>
                <w:u w:val="none"/>
                <w:lang w:val="en-US" w:eastAsia="zh-CN"/>
              </w:rPr>
              <w:t>双方自愿当场和解、无损失、主动消除矛盾</w:t>
            </w:r>
            <w:bookmarkStart w:id="0" w:name="_GoBack"/>
            <w:bookmarkEnd w:id="0"/>
          </w:p>
        </w:tc>
        <w:tc>
          <w:tcPr>
            <w:tcW w:w="964" w:type="dxa"/>
          </w:tcPr>
          <w:p>
            <w:pPr>
              <w:rPr>
                <w:rFonts w:ascii="Arial" w:hAnsi="Arial"/>
                <w:sz w:val="21"/>
              </w:rPr>
            </w:pPr>
          </w:p>
        </w:tc>
      </w:tr>
      <w:tr>
        <w:trPr>
          <w:trHeight w:val="1482"/>
        </w:trPr>
        <w:tc>
          <w:tcPr>
            <w:tcW w:w="964" w:type="dxa"/>
          </w:tcPr>
          <w:p>
            <w:pPr>
              <w:pStyle w:val="15"/>
              <w:spacing w:before="62"/>
              <w:ind w:left="425"/>
              <w:rPr>
                <w:lang w:val="en-US" w:eastAsia="zh-CN"/>
              </w:rPr>
            </w:pPr>
          </w:p>
          <w:p>
            <w:pPr>
              <w:pStyle w:val="15"/>
              <w:spacing w:before="62"/>
              <w:ind w:left="425"/>
              <w:rPr>
                <w:lang w:val="en-US" w:eastAsia="zh-CN"/>
              </w:rPr>
            </w:pPr>
          </w:p>
          <w:p>
            <w:pPr>
              <w:pStyle w:val="15"/>
              <w:spacing w:before="62"/>
              <w:ind w:left="425"/>
              <w:rPr>
                <w:lang w:val="en-US" w:eastAsia="zh-CN"/>
              </w:rPr>
            </w:pPr>
            <w:r>
              <w:rPr>
                <w:lang w:val="en-US" w:eastAsia="zh-CN"/>
              </w:rPr>
              <w:t>7</w:t>
            </w:r>
          </w:p>
        </w:tc>
        <w:tc>
          <w:tcPr>
            <w:tcW w:w="2329" w:type="dxa"/>
          </w:tcPr>
          <w:p>
            <w:pPr>
              <w:rPr>
                <w:rFonts w:ascii="Arial" w:hAnsi="Arial"/>
                <w:sz w:val="21"/>
              </w:rPr>
            </w:pPr>
          </w:p>
          <w:p>
            <w:pPr>
              <w:rPr>
                <w:rFonts w:ascii="Arial" w:hAnsi="Arial"/>
                <w:sz w:val="21"/>
              </w:rPr>
            </w:pPr>
          </w:p>
          <w:p>
            <w:pPr>
              <w:rPr>
                <w:rFonts w:ascii="Arial" w:hAnsi="Arial"/>
                <w:sz w:val="21"/>
              </w:rPr>
            </w:pPr>
            <w:r>
              <w:rPr>
                <w:rFonts w:ascii="Arial" w:hAnsi="Arial"/>
                <w:sz w:val="21"/>
              </w:rPr>
              <w:t>未成年人违反治安管理的处罚</w:t>
            </w:r>
          </w:p>
        </w:tc>
        <w:tc>
          <w:tcPr>
            <w:tcW w:w="4077" w:type="dxa"/>
          </w:tcPr>
          <w:p>
            <w:pPr>
              <w:rPr>
                <w:rFonts w:ascii="Arial" w:hAnsi="Arial"/>
                <w:sz w:val="21"/>
              </w:rPr>
            </w:pPr>
          </w:p>
          <w:p>
            <w:pPr>
              <w:rPr>
                <w:rFonts w:ascii="Arial" w:hAnsi="Arial"/>
                <w:sz w:val="21"/>
              </w:rPr>
            </w:pPr>
          </w:p>
          <w:p>
            <w:pPr>
              <w:rPr>
                <w:rFonts w:ascii="Arial" w:hAnsi="Arial"/>
                <w:sz w:val="21"/>
              </w:rPr>
            </w:pPr>
            <w:r>
              <w:rPr>
                <w:rFonts w:ascii="Arial" w:hAnsi="Arial"/>
                <w:sz w:val="21"/>
              </w:rPr>
              <w:t>《中华人民共和国治安管理处罚法》第12条</w:t>
            </w:r>
          </w:p>
        </w:tc>
        <w:tc>
          <w:tcPr>
            <w:tcW w:w="1869" w:type="dxa"/>
          </w:tcPr>
          <w:p>
            <w:pPr>
              <w:jc w:val="center"/>
              <w:rPr>
                <w:rFonts w:ascii="Arial" w:cs="Arial" w:hAnsi="Arial"/>
                <w:snapToGrid w:val="0"/>
                <w:color w:val="000000"/>
                <w:kern w:val="0"/>
                <w:sz w:val="21"/>
                <w:szCs w:val="21"/>
                <w:lang w:val="en-US" w:eastAsia="zh-CN" w:bidi="ar-SA"/>
              </w:rPr>
            </w:pPr>
          </w:p>
          <w:p>
            <w:pPr>
              <w:jc w:val="center"/>
              <w:rPr>
                <w:rFonts w:ascii="Arial" w:cs="Arial" w:hAnsi="Arial"/>
                <w:snapToGrid w:val="0"/>
                <w:color w:val="000000"/>
                <w:kern w:val="0"/>
                <w:sz w:val="21"/>
                <w:szCs w:val="21"/>
                <w:lang w:val="en-US" w:eastAsia="zh-CN" w:bidi="ar-SA"/>
              </w:rPr>
            </w:pPr>
          </w:p>
          <w:p>
            <w:pPr>
              <w:jc w:val="center"/>
              <w:rPr>
                <w:rFonts w:ascii="Arial" w:cs="Arial" w:hAnsi="Arial"/>
                <w:snapToGrid w:val="0"/>
                <w:color w:val="000000"/>
                <w:kern w:val="0"/>
                <w:sz w:val="21"/>
                <w:szCs w:val="21"/>
                <w:lang w:val="en-US" w:eastAsia="zh-CN" w:bidi="ar-SA"/>
              </w:rPr>
            </w:pPr>
            <w:r>
              <w:rPr>
                <w:rFonts w:ascii="Arial" w:cs="Arial" w:hAnsi="Arial" w:hint="eastAsia"/>
                <w:snapToGrid w:val="0"/>
                <w:color w:val="000000"/>
                <w:kern w:val="0"/>
                <w:sz w:val="21"/>
                <w:szCs w:val="21"/>
                <w:lang w:val="en-US" w:eastAsia="zh-CN" w:bidi="ar-SA"/>
              </w:rPr>
              <w:t>突泉县公安局</w:t>
            </w:r>
          </w:p>
        </w:tc>
        <w:tc>
          <w:tcPr>
            <w:tcW w:w="4117" w:type="dxa"/>
            <w:shd w:val="clear" w:color="auto" w:fill="auto"/>
            <w:vAlign w:val="center"/>
          </w:tcPr>
          <w:p>
            <w:pPr>
              <w:keepNext w:val="0"/>
              <w:keepLines w:val="0"/>
              <w:widowControl/>
              <w:suppressLineNumbers w:val="0"/>
              <w:textAlignment w:val="center"/>
              <w:rPr>
                <w:rFonts w:ascii="方正仿宋_GBK" w:eastAsia="方正仿宋_GBK" w:cs="方正仿宋_GBK" w:hAnsi="方正仿宋_GBK"/>
                <w:i w:val="0"/>
                <w:iCs w:val="0"/>
                <w:snapToGrid w:val="0"/>
                <w:color w:val="000000"/>
                <w:kern w:val="0"/>
                <w:sz w:val="24"/>
                <w:szCs w:val="24"/>
                <w:u w:val="none"/>
                <w:lang w:val="en-US" w:eastAsia="zh-CN"/>
              </w:rPr>
            </w:pPr>
            <w:r>
              <w:rPr>
                <w:rFonts w:ascii="方正仿宋_GBK" w:eastAsia="方正仿宋_GBK" w:cs="方正仿宋_GBK" w:hAnsi="方正仿宋_GBK"/>
                <w:i w:val="0"/>
                <w:iCs w:val="0"/>
                <w:snapToGrid w:val="0"/>
                <w:color w:val="000000"/>
                <w:kern w:val="0"/>
                <w:sz w:val="24"/>
                <w:szCs w:val="24"/>
                <w:u w:val="none"/>
                <w:lang w:val="en-US" w:eastAsia="zh-CN"/>
              </w:rPr>
              <w:t>情节轻微、监护人积极配合管教、无危害后果</w:t>
            </w:r>
          </w:p>
        </w:tc>
        <w:tc>
          <w:tcPr>
            <w:tcW w:w="964" w:type="dxa"/>
          </w:tcPr>
          <w:p>
            <w:pPr>
              <w:rPr>
                <w:rFonts w:ascii="Arial" w:hAnsi="Arial"/>
                <w:sz w:val="21"/>
              </w:rPr>
            </w:pPr>
          </w:p>
        </w:tc>
      </w:tr>
    </w:tbl>
    <w:p>
      <w:pPr>
        <w:jc w:val="left"/>
        <w:rPr>
          <w:rFonts w:ascii="Arial" w:hAnsi="Arial"/>
          <w:sz w:val="21"/>
        </w:rPr>
      </w:pPr>
    </w:p>
    <w:p/>
    <w:sectPr>
      <w:pgSz w:w="16838" w:h="11906" w:orient="landscape"/>
      <w:pgMar w:top="1440" w:right="1803" w:bottom="1440" w:left="1803"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10609060101010101"/>
    <w:charset w:val="86"/>
    <w:family w:val="auto"/>
    <w:pitch w:val="variable"/>
    <w:sig w:usb0="800002BF" w:usb1="38CF7CFA" w:usb2="00000016" w:usb3="00000000" w:csb0="00040001" w:csb1="00000000"/>
  </w:font>
  <w:font w:name="宋体">
    <w:altName w:val="汉仪仿宋简"/>
    <w:panose1 w:val="02010600030101010101"/>
    <w:charset w:val="86"/>
    <w:family w:val="auto"/>
    <w:pitch w:val="variable"/>
    <w:sig w:usb0="00000003" w:usb1="288F0000" w:usb2="0000000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方正仿宋_GBK">
    <w:altName w:val="微软雅黑"/>
    <w:panose1 w:val="00000000000000000000"/>
    <w:charset w:val="00"/>
    <w:family w:val="auto"/>
    <w:pitch w:val="variable"/>
    <w:sig w:usb0="00000000" w:usb1="00000000" w:usb2="00000000" w:usb3="00000000" w:csb0="00000000"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方正兰亭黑_GBK">
    <w:panose1 w:val="02000000000000000000"/>
    <w:charset w:val="86"/>
    <w:family w:val="script"/>
    <w:pitch w:val="variable"/>
    <w:sig w:usb0="A00002BF" w:usb1="3ACF7CFA" w:usb2="0008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kinsoku w:val="0"/>
      <w:autoSpaceDE w:val="0"/>
      <w:autoSpaceDN w:val="0"/>
      <w:adjustRightInd w:val="0"/>
      <w:snapToGrid w:val="0"/>
      <w:spacing w:line="240" w:lineRule="auto"/>
      <w:jc w:val="left"/>
      <w:textAlignment w:val="baseline"/>
    </w:pPr>
    <w:rPr>
      <w:rFonts w:ascii="Arial" w:eastAsia="Arial" w:cs="Arial" w:hAnsi="Arial"/>
      <w:snapToGrid w:val="0"/>
      <w:color w:val="000000"/>
      <w:kern w:val="0"/>
      <w:sz w:val="21"/>
      <w:szCs w:val="21"/>
      <w:lang w:val="en-US"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Arial" w:eastAsia="Arial" w:cs="Arial" w:hAnsi="Arial"/>
      <w:b/>
      <w:bCs/>
      <w:snapToGrid w:val="0"/>
      <w:color w:val="000000"/>
      <w:kern w:val="44"/>
      <w:sz w:val="44"/>
      <w:szCs w:val="44"/>
      <w:lang w:val="en-US" w:bidi="ar-SA"/>
    </w:rPr>
  </w:style>
  <w:style w:type="paragraph" w:styleId="2">
    <w:name w:val="heading 2"/>
    <w:qFormat/>
    <w:basedOn w:val="0"/>
    <w:next w:val="0"/>
    <w:link w:val="2Char"/>
    <w:pPr>
      <w:keepNext/>
      <w:keepLines/>
      <w:spacing w:before="260" w:after="260" w:line="415" w:lineRule="auto"/>
      <w:outlineLvl w:val="1"/>
    </w:pPr>
    <w:rPr>
      <w:rFonts w:ascii="方正兰亭黑_GBK" w:eastAsia="黑体" w:hAnsi="方正兰亭黑_GBK"/>
      <w:b/>
      <w:bCs/>
      <w:sz w:val="32"/>
      <w:szCs w:val="32"/>
    </w:rPr>
  </w:style>
  <w:style w:type="character" w:customStyle="1" w:styleId="2Char">
    <w:name w:val="heading 2 Char"/>
    <w:basedOn w:val="10"/>
    <w:link w:val="2"/>
    <w:rPr>
      <w:rFonts w:ascii="方正兰亭黑_GBK" w:eastAsia="黑体" w:cs="Arial" w:hAnsi="Arial"/>
      <w:b/>
      <w:bCs/>
      <w:snapToGrid w:val="0"/>
      <w:color w:val="000000"/>
      <w:kern w:val="0"/>
      <w:sz w:val="32"/>
      <w:szCs w:val="32"/>
      <w:lang w:val="en-US"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Arial" w:eastAsia="Arial" w:cs="Arial" w:hAnsi="Arial"/>
      <w:b/>
      <w:bCs/>
      <w:snapToGrid w:val="0"/>
      <w:color w:val="000000"/>
      <w:kern w:val="0"/>
      <w:sz w:val="32"/>
      <w:szCs w:val="32"/>
      <w:lang w:val="en-US" w:bidi="ar-SA"/>
    </w:rPr>
  </w:style>
  <w:style w:type="character" w:default="1" w:styleId="10">
    <w:name w:val="Default Paragraph Font"/>
    <w:qFormat/>
  </w:style>
  <w:style w:type="paragraph" w:customStyle="1" w:yozoId="4094" w:styleId="15">
    <w:name w:val="Table Text"/>
    <w:qFormat/>
    <w:basedOn w:val="0"/>
    <w:rPr>
      <w:rFonts w:ascii="宋体" w:eastAsia="宋体" w:cs="宋体" w:hAnsi="宋体"/>
      <w:sz w:val="19"/>
      <w:szCs w:val="19"/>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22727707-4213-4BFF-ACBB-E960E934E38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24</TotalTime>
  <Application>WPS_Yozo_Office9.0.6141.161ZH</Application>
  <Pages>2</Pages>
  <Words>0</Words>
  <Characters>884</Characters>
  <Lines>0</Lines>
  <Paragraphs>8</Paragraphs>
  <CharactersWithSpaces>1179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2</cp:revision>
  <dcterms:created xsi:type="dcterms:W3CDTF">2026-07-06T01:14:17Z</dcterms:created>
  <dcterms:modified xsi:type="dcterms:W3CDTF">2026-07-09T07:19:38Z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KSOTemplateDocerSaveRecord">
    <vt:lpwstr>eyJoZGlkIjoiZjc5NjJhZWZlNTJiMDQxMTFjMzY1YmZhY2NmZTViNGIiLCJ1c2VySWQiOiI5ODI4Nzg0ODIifQ==</vt:lpwstr>
  </property>
  <property fmtid="{D5CDD505-2E9C-101B-9397-08002B2CF9AE}" pid="4" name="ICV">
    <vt:lpwstr>8A19C1362C6A49F9B1A86E344A81D531_12</vt:lpwstr>
  </property>
</Properties>
</file>