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ED4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0156F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6B484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突泉县2026年“双随机、一公开”水利局</w:t>
      </w:r>
    </w:p>
    <w:p w14:paraId="07DE5B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联合抽查检查工作方案</w:t>
      </w:r>
    </w:p>
    <w:p w14:paraId="3DBD48AB">
      <w:pPr>
        <w:pStyle w:val="2"/>
        <w:rPr>
          <w:rFonts w:hint="eastAsia"/>
        </w:rPr>
      </w:pPr>
    </w:p>
    <w:p w14:paraId="25772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为贯彻落实《优化营商环境条例》，根据《自治区市场监管局关于印发&lt;内蒙古自治区2026年度市场监管领域部门联合“双随机、一公开”抽查计划〉的通知》 (内市监信发〔2026〕4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和《兴安盟2026年度市场监管领域部门联合“双随机、一公开”抽查计划》(兴市监办字〔2026〕55号)要求，突泉县水利局、突泉县市场监督管理局决定联合开展突泉县2026年“双随机、一公开”水利局联合抽查检查工作。</w:t>
      </w:r>
    </w:p>
    <w:p w14:paraId="5C85F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一、任务名称</w:t>
      </w:r>
    </w:p>
    <w:p w14:paraId="25F54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本次任务名称按照统一规范的原则，制定为：突泉县水利局2026年度对取水个体户联合抽查检查，主要包括以下两个方面:</w:t>
      </w:r>
    </w:p>
    <w:p w14:paraId="3085BD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（一）突泉县水利局抽查事项：</w:t>
      </w:r>
      <w:r>
        <w:rPr>
          <w:rFonts w:hint="eastAsia" w:ascii="仿宋_GB2312" w:hAnsi="仿宋_GB2312" w:eastAsia="仿宋_GB2312" w:cs="仿宋_GB2312"/>
          <w:sz w:val="32"/>
          <w:szCs w:val="32"/>
        </w:rPr>
        <w:t>对单位/个人取用水行为的监管；对单位/个人行政许可事项的监管。</w:t>
      </w:r>
    </w:p>
    <w:p w14:paraId="7B79E0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（二）突泉县市场监督管理局事项:</w:t>
      </w:r>
      <w:r>
        <w:rPr>
          <w:rFonts w:hint="eastAsia" w:ascii="仿宋_GB2312" w:hAnsi="仿宋_GB2312" w:eastAsia="仿宋_GB2312" w:cs="仿宋_GB2312"/>
          <w:sz w:val="32"/>
          <w:szCs w:val="32"/>
        </w:rPr>
        <w:t>营业执照（登记证）规范使用情况的检查；经营（驻在）期限的检查；住所（经营场所）或驻在场所的检查。</w:t>
      </w:r>
    </w:p>
    <w:p w14:paraId="6A54E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二、抽查检查比例</w:t>
      </w:r>
    </w:p>
    <w:p w14:paraId="116866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各取水个体户（56家），按照5%比例，抽取3家。</w:t>
      </w:r>
    </w:p>
    <w:p w14:paraId="01DEA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三、职责分工</w:t>
      </w:r>
    </w:p>
    <w:p w14:paraId="3A756F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（一）录入年度计划任务。</w:t>
      </w:r>
      <w:r>
        <w:rPr>
          <w:rFonts w:hint="eastAsia" w:ascii="仿宋_GB2312" w:hAnsi="仿宋_GB2312" w:eastAsia="仿宋_GB2312" w:cs="仿宋_GB2312"/>
          <w:sz w:val="32"/>
          <w:szCs w:val="32"/>
        </w:rPr>
        <w:t>本次抽查突泉县水利局牵头，配合部门加强协作，制定“双随机、一公开”抽查计划和任务，牵头部门通过“国家企业信用信息公示系统”(部门协同监管平台—内蒙古)录入“双随机、一公开”部门联合抽查计划和任务。</w:t>
      </w:r>
    </w:p>
    <w:p w14:paraId="0BE6FD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（二）建立“两库”。</w:t>
      </w:r>
      <w:r>
        <w:rPr>
          <w:rFonts w:hint="eastAsia" w:ascii="仿宋_GB2312" w:hAnsi="仿宋_GB2312" w:eastAsia="仿宋_GB2312" w:cs="仿宋_GB2312"/>
          <w:sz w:val="32"/>
          <w:szCs w:val="32"/>
        </w:rPr>
        <w:t>按照“监管对象相同、职责相近”原则，各部门协同一致，建立随机抽查检查对象名录库（子库），按照随机原则，建立执法人员库（子库），组成联合检查组，按照各自职责，分工负责开展联合检查。</w:t>
      </w:r>
    </w:p>
    <w:p w14:paraId="25C3C0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（三）随机抽取。</w:t>
      </w:r>
      <w:r>
        <w:rPr>
          <w:rFonts w:hint="eastAsia" w:ascii="仿宋_GB2312" w:hAnsi="仿宋_GB2312" w:eastAsia="仿宋_GB2312" w:cs="仿宋_GB2312"/>
          <w:sz w:val="32"/>
          <w:szCs w:val="32"/>
        </w:rPr>
        <w:t>按照信用风险分级分类建立检查对象名录库（子库），在任务抽取中点击信用分类抽取设置模块，将多个信用风险分类子库导入并分别设置抽取比例，提高企业信用风险分类结果占比。</w:t>
      </w:r>
    </w:p>
    <w:p w14:paraId="3799FB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（四）检查结果录入和公示。</w:t>
      </w:r>
      <w:r>
        <w:rPr>
          <w:rFonts w:hint="eastAsia" w:ascii="仿宋_GB2312" w:hAnsi="仿宋_GB2312" w:eastAsia="仿宋_GB2312" w:cs="仿宋_GB2312"/>
          <w:sz w:val="32"/>
          <w:szCs w:val="32"/>
        </w:rPr>
        <w:t>按照“谁检查、谁录入、谁公开”的原则，检查部门在完成检查任务之日起20个工作日内，通过监管平台录入并公示抽查检查结果。自治区市场监督管理局将监管平台的抽查检查结果信息推送至自治区社会信用信息平台，并向社会公示。</w:t>
      </w:r>
    </w:p>
    <w:p w14:paraId="1191A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四、工作阶段</w:t>
      </w:r>
    </w:p>
    <w:p w14:paraId="090E3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本次“双随机、一公开”联合抽查检查，自2026年7月1日至9月30日，分为三个阶段。</w:t>
      </w:r>
    </w:p>
    <w:p w14:paraId="616E98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（一）随机抽取阶段（7月1日至7月31日）</w:t>
      </w:r>
    </w:p>
    <w:p w14:paraId="413D1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由突泉县水利局发起，联合突泉县市场监督管理局制定抽查计划，建立检查对象名录库，随机抽取检查对象和检查人员。</w:t>
      </w:r>
    </w:p>
    <w:p w14:paraId="2763EB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（二）实地检查阶段（8月1日至9月10日）</w:t>
      </w:r>
    </w:p>
    <w:p w14:paraId="46772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突泉县水利局牵头，确定检查日程，组织开展实地检查。各部门对同一被检查机构要一次性完成抽查事项，避免“运动式”执法和对被查机构正常经营活动造成不必要的干扰。除根据掌握的问题线索需要实施突击检查外，实地核查原则上应提前与机构取得联系，一次性告知检查事项、检查时间以及需要准备的检查材料，并要求机构相关人员到现场配合检查。实地核查要如实记录检查情况、填写“随机抽查检查表”，并要求机构法定代表人(负责人)签字并由机构盖章，提高抽查效率。</w:t>
      </w:r>
    </w:p>
    <w:p w14:paraId="38D726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（三）结果公示阶段（9月11日至9月30日）</w:t>
      </w:r>
    </w:p>
    <w:p w14:paraId="08D6D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按照“谁检查、谁录入、谁公开”的原则，在抽查任务完成后20个工作日内，将检查结果录入“国家企业信用信息公示系统”(部门协同监管平台一内蒙古)向社会公示，接受社会监督。抽查检查结果的公示只针对检查行为本身，后续对检查对象作出行政处罚等监管执法结果信息应按照规定程序另行公示。</w:t>
      </w:r>
    </w:p>
    <w:p w14:paraId="55A9D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五、工作要求</w:t>
      </w:r>
    </w:p>
    <w:p w14:paraId="664B8A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w:t>
      </w:r>
      <w:r>
        <w:rPr>
          <w:rFonts w:hint="eastAsia" w:ascii="仿宋_GB2312" w:hAnsi="仿宋_GB2312" w:eastAsia="仿宋_GB2312" w:cs="仿宋_GB2312"/>
          <w:sz w:val="32"/>
          <w:szCs w:val="32"/>
        </w:rPr>
        <w:t>各部门要认真贯彻《中共中央办公厅、国务院办公厅关于加强行政执法协调监督工作体系建设的意见》，切实负起责任，加强对涉企行政检查的规范管理。</w:t>
      </w:r>
    </w:p>
    <w:p w14:paraId="19E8D6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（二）</w:t>
      </w:r>
      <w:r>
        <w:rPr>
          <w:rFonts w:hint="eastAsia" w:ascii="仿宋_GB2312" w:hAnsi="仿宋_GB2312" w:eastAsia="仿宋_GB2312" w:cs="仿宋_GB2312"/>
          <w:b w:val="0"/>
          <w:bCs w:val="0"/>
          <w:sz w:val="32"/>
          <w:szCs w:val="32"/>
        </w:rPr>
        <w:t>对于抽查发现的各类问题，按照“谁审批、谁监管、谁负责”的原则，以及检查主体部门职责，依法对违法违规行为进行查处,涉嫌犯罪的及时移送司法机关。</w:t>
      </w:r>
    </w:p>
    <w:p w14:paraId="626274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w:t>
      </w:r>
      <w:r>
        <w:rPr>
          <w:rFonts w:hint="eastAsia" w:ascii="仿宋_GB2312" w:hAnsi="仿宋_GB2312" w:eastAsia="仿宋_GB2312" w:cs="仿宋_GB2312"/>
          <w:b w:val="0"/>
          <w:bCs w:val="0"/>
          <w:sz w:val="32"/>
          <w:szCs w:val="32"/>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w:t>
      </w:r>
    </w:p>
    <w:p w14:paraId="1A959E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ascii="楷体" w:hAnsi="楷体" w:eastAsia="楷体" w:cs="楷体"/>
          <w:b/>
          <w:bCs/>
          <w:sz w:val="32"/>
          <w:szCs w:val="32"/>
        </w:rPr>
        <w:t>（四）</w:t>
      </w:r>
      <w:r>
        <w:rPr>
          <w:rFonts w:hint="eastAsia" w:ascii="仿宋_GB2312" w:hAnsi="仿宋_GB2312" w:eastAsia="仿宋_GB2312" w:cs="仿宋_GB2312"/>
          <w:sz w:val="32"/>
          <w:szCs w:val="32"/>
        </w:rPr>
        <w:t>各部门承担起主体责任，依照各部门工作程序加强协调配合，开展抽查工作，确保按时间节点、工作任务要求完成联合检查工作。要发挥各自监管职责优势,依法对违法违规行为进行检查,相互通报检查结果。</w:t>
      </w:r>
    </w:p>
    <w:p w14:paraId="1F6920A3">
      <w:bookmarkStart w:id="0" w:name="_GoBack"/>
      <w:bookmarkEnd w:id="0"/>
    </w:p>
    <w:sectPr>
      <w:headerReference r:id="rId5" w:type="default"/>
      <w:footerReference r:id="rId6"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D2C2">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516DB">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7516DB">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2386965</wp:posOffset>
              </wp:positionH>
              <wp:positionV relativeFrom="paragraph">
                <wp:posOffset>-151130</wp:posOffset>
              </wp:positionV>
              <wp:extent cx="538480" cy="2971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8480" cy="297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5F38E">
                          <w:pPr>
                            <w:pStyle w:val="3"/>
                            <w:jc w:val="both"/>
                            <w:rPr>
                              <w:rFonts w:hint="eastAsia" w:ascii="仿宋_GB2312" w:hAnsi="仿宋_GB2312" w:eastAsia="仿宋_GB2312" w:cs="仿宋_GB2312"/>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7.95pt;margin-top:-11.9pt;height:23.4pt;width:42.4pt;mso-position-horizontal-relative:margin;z-index:251662336;mso-width-relative:page;mso-height-relative:page;" filled="f" stroked="f" coordsize="21600,21600" o:gfxdata="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D4FfXZAAAACgEAAA8AAAAAAAAAAQAgAAAAIgAAAGRycy9kb3du&#10;cmV2LnhtbFBLAQIUABQAAAAIAIdO4kBPfJhENwIAAGEEAAAOAAAAAAAAAAEAIAAAACgBAABkcnMv&#10;ZTJvRG9jLnhtbFBLBQYAAAAABgAGAFkBAADRBQAAAAA=&#10;">
              <v:fill on="f" focussize="0,0"/>
              <v:stroke on="f" weight="0.5pt"/>
              <v:imagedata o:title=""/>
              <o:lock v:ext="edit" aspectratio="f"/>
              <v:textbox inset="0mm,0mm,0mm,0mm">
                <w:txbxContent>
                  <w:p w14:paraId="4485F38E">
                    <w:pPr>
                      <w:pStyle w:val="3"/>
                      <w:jc w:val="both"/>
                      <w:rPr>
                        <w:rFonts w:hint="eastAsia" w:ascii="仿宋_GB2312" w:hAnsi="仿宋_GB2312" w:eastAsia="仿宋_GB2312" w:cs="仿宋_GB2312"/>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78B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1FF7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51FF7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2386965</wp:posOffset>
              </wp:positionH>
              <wp:positionV relativeFrom="paragraph">
                <wp:posOffset>-151130</wp:posOffset>
              </wp:positionV>
              <wp:extent cx="538480"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8480" cy="297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04BB4">
                          <w:pPr>
                            <w:pStyle w:val="3"/>
                            <w:jc w:val="both"/>
                            <w:rPr>
                              <w:rFonts w:hint="eastAsia" w:ascii="仿宋_GB2312" w:hAnsi="仿宋_GB2312" w:eastAsia="仿宋_GB2312" w:cs="仿宋_GB2312"/>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7.95pt;margin-top:-11.9pt;height:23.4pt;width:42.4pt;mso-position-horizontal-relative:margin;z-index:251660288;mso-width-relative:page;mso-height-relative:page;" filled="f" stroked="f" coordsize="21600,21600" o:gfxdata="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D4FfXZAAAACgEAAA8AAAAAAAAAAQAgAAAAIgAAAGRycy9kb3du&#10;cmV2LnhtbFBLAQIUABQAAAAIAIdO4kAUcHPhNwIAAGEEAAAOAAAAAAAAAAEAIAAAACgBAABkcnMv&#10;ZTJvRG9jLnhtbFBLBQYAAAAABgAGAFkBAADRBQAAAAA=&#10;">
              <v:fill on="f" focussize="0,0"/>
              <v:stroke on="f" weight="0.5pt"/>
              <v:imagedata o:title=""/>
              <o:lock v:ext="edit" aspectratio="f"/>
              <v:textbox inset="0mm,0mm,0mm,0mm">
                <w:txbxContent>
                  <w:p w14:paraId="5CC04BB4">
                    <w:pPr>
                      <w:pStyle w:val="3"/>
                      <w:jc w:val="both"/>
                      <w:rPr>
                        <w:rFonts w:hint="eastAsia" w:ascii="仿宋_GB2312" w:hAnsi="仿宋_GB2312" w:eastAsia="仿宋_GB2312" w:cs="仿宋_GB2312"/>
                        <w:sz w:val="28"/>
                        <w:szCs w:val="28"/>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8B4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3F9AA">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E3F9AA">
                    <w:pPr>
                      <w:pStyle w:val="4"/>
                      <w:rPr>
                        <w:rFonts w:hint="eastAsia" w:eastAsiaTheme="minorEastAsia"/>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5FC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CC9B9">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DDCC9B9">
                    <w:pPr>
                      <w:pStyle w:val="4"/>
                      <w:rPr>
                        <w:rFonts w:hint="eastAsia" w:eastAsiaTheme="minorEastAsia"/>
                        <w:lang w:eastAsia="zh-C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3390B"/>
    <w:rsid w:val="1D33390B"/>
    <w:rsid w:val="35F51F89"/>
    <w:rsid w:val="3688270A"/>
    <w:rsid w:val="5359672E"/>
    <w:rsid w:val="5F08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keepNext/>
      <w:keepLines/>
      <w:adjustRightInd w:val="0"/>
      <w:spacing w:before="240" w:after="64" w:line="320" w:lineRule="atLeast"/>
      <w:jc w:val="left"/>
      <w:textAlignment w:val="baseline"/>
      <w:outlineLvl w:val="5"/>
    </w:pPr>
    <w:rPr>
      <w:rFonts w:hAnsi="Arial" w:eastAsia="黑体"/>
      <w:b/>
      <w:sz w:val="2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公文正文"/>
    <w:basedOn w:val="1"/>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643" w:firstLineChars="200"/>
      <w:jc w:val="left"/>
      <w:outlineLvl w:val="0"/>
    </w:pPr>
    <w:rPr>
      <w:rFonts w:hint="eastAsia" w:ascii="楷体_GB2312" w:hAnsi="楷体_GB2312" w:eastAsia="仿宋_GB2312" w:cs="楷体_GB2312"/>
      <w:kern w:val="44"/>
      <w:sz w:val="32"/>
      <w:szCs w:val="32"/>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1737</Words>
  <Characters>1772</Characters>
  <Lines>0</Lines>
  <Paragraphs>0</Paragraphs>
  <TotalTime>0</TotalTime>
  <ScaleCrop>false</ScaleCrop>
  <LinksUpToDate>false</LinksUpToDate>
  <CharactersWithSpaces>1774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2026-07-09T01:39:00Z</dcterms:created>
  <dc:creator>°Accompany</dc:creator>
  <cp:lastModifiedBy>°Accompany</cp:lastModifiedBy>
  <dcterms:modified xsi:type="dcterms:W3CDTF">2026-07-09T01:51:29Z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234F6E2EE3B648CD8ED5F977BA8024DE_11</vt:lpwstr>
  </property>
  <property fmtid="{D5CDD505-2E9C-101B-9397-08002B2CF9AE}" pid="4" name="KSOTemplateDocerSaveRecord">
    <vt:lpwstr>eyJoZGlkIjoiYmY2NmI2MzUwYjBlMzUxNjc0NDYzYjRhYjRmNDhjNzEiLCJ1c2VySWQiOiIyNDY5MjQyMDgifQ==</vt:lpwstr>
  </property>
</Properties>
</file>